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1482"/>
        <w:gridCol w:w="1482"/>
        <w:gridCol w:w="3168"/>
      </w:tblGrid>
      <w:tr w:rsidR="00C901AA" w14:paraId="3F96B9B3" w14:textId="77777777" w:rsidTr="00C901AA">
        <w:tc>
          <w:tcPr>
            <w:tcW w:w="3315" w:type="dxa"/>
          </w:tcPr>
          <w:p w14:paraId="0BF0077F" w14:textId="612AF6FB" w:rsidR="00C901AA" w:rsidRDefault="00C901AA" w:rsidP="002C1045">
            <w:pPr>
              <w:spacing w:line="276" w:lineRule="auto"/>
              <w:rPr>
                <w:rFonts w:asciiTheme="majorHAnsi" w:hAnsiTheme="majorHAnsi"/>
                <w:lang w:val="en"/>
              </w:rPr>
            </w:pPr>
            <w:r>
              <w:rPr>
                <w:noProof/>
              </w:rPr>
              <w:drawing>
                <wp:inline distT="0" distB="0" distL="0" distR="0" wp14:anchorId="4851F46B" wp14:editId="4ACB2253">
                  <wp:extent cx="1966799" cy="75049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807" cy="758134"/>
                          </a:xfrm>
                          <a:prstGeom prst="rect">
                            <a:avLst/>
                          </a:prstGeom>
                          <a:noFill/>
                          <a:ln>
                            <a:noFill/>
                          </a:ln>
                        </pic:spPr>
                      </pic:pic>
                    </a:graphicData>
                  </a:graphic>
                </wp:inline>
              </w:drawing>
            </w:r>
          </w:p>
        </w:tc>
        <w:tc>
          <w:tcPr>
            <w:tcW w:w="1482" w:type="dxa"/>
          </w:tcPr>
          <w:p w14:paraId="1E8FF2EB" w14:textId="77777777" w:rsidR="00C901AA" w:rsidRDefault="00C901AA" w:rsidP="002C1045">
            <w:pPr>
              <w:spacing w:line="276" w:lineRule="auto"/>
              <w:rPr>
                <w:rFonts w:asciiTheme="majorHAnsi" w:hAnsiTheme="majorHAnsi"/>
                <w:lang w:val="en"/>
              </w:rPr>
            </w:pPr>
          </w:p>
        </w:tc>
        <w:tc>
          <w:tcPr>
            <w:tcW w:w="1482" w:type="dxa"/>
          </w:tcPr>
          <w:p w14:paraId="125C596C" w14:textId="0FDFFA3F" w:rsidR="00C901AA" w:rsidRDefault="00C901AA" w:rsidP="002C1045">
            <w:pPr>
              <w:spacing w:line="276" w:lineRule="auto"/>
              <w:rPr>
                <w:rFonts w:asciiTheme="majorHAnsi" w:hAnsiTheme="majorHAnsi"/>
                <w:lang w:val="en"/>
              </w:rPr>
            </w:pPr>
          </w:p>
        </w:tc>
        <w:tc>
          <w:tcPr>
            <w:tcW w:w="3168" w:type="dxa"/>
          </w:tcPr>
          <w:p w14:paraId="7BDF463E" w14:textId="69A28E82" w:rsidR="00C901AA" w:rsidRDefault="00C901AA" w:rsidP="002C1045">
            <w:pPr>
              <w:spacing w:line="276" w:lineRule="auto"/>
              <w:rPr>
                <w:rFonts w:asciiTheme="majorHAnsi" w:hAnsiTheme="majorHAnsi"/>
                <w:lang w:val="en"/>
              </w:rPr>
            </w:pPr>
            <w:r w:rsidRPr="0037098F">
              <w:rPr>
                <w:rFonts w:asciiTheme="majorHAnsi" w:hAnsiTheme="majorHAnsi"/>
                <w:noProof/>
              </w:rPr>
              <w:drawing>
                <wp:inline distT="0" distB="0" distL="0" distR="0" wp14:anchorId="1C41F868" wp14:editId="2FCEF3A5">
                  <wp:extent cx="1874025" cy="81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728" cy="831624"/>
                          </a:xfrm>
                          <a:prstGeom prst="rect">
                            <a:avLst/>
                          </a:prstGeom>
                          <a:noFill/>
                          <a:ln>
                            <a:noFill/>
                          </a:ln>
                        </pic:spPr>
                      </pic:pic>
                    </a:graphicData>
                  </a:graphic>
                </wp:inline>
              </w:drawing>
            </w:r>
          </w:p>
        </w:tc>
      </w:tr>
    </w:tbl>
    <w:p w14:paraId="78DB4ABF" w14:textId="64552EC8" w:rsidR="00431F45" w:rsidRPr="00A92F62" w:rsidRDefault="00A63162" w:rsidP="002C1045">
      <w:pPr>
        <w:pBdr>
          <w:top w:val="dotted" w:sz="4" w:space="1" w:color="auto"/>
          <w:left w:val="dotted" w:sz="4" w:space="4" w:color="auto"/>
          <w:bottom w:val="dotted" w:sz="4" w:space="1" w:color="auto"/>
          <w:right w:val="dotted" w:sz="4" w:space="4" w:color="auto"/>
        </w:pBdr>
        <w:spacing w:line="276" w:lineRule="auto"/>
        <w:jc w:val="center"/>
        <w:rPr>
          <w:rFonts w:asciiTheme="majorHAnsi" w:hAnsiTheme="majorHAnsi"/>
          <w:b/>
          <w:bCs/>
          <w:sz w:val="28"/>
          <w:szCs w:val="28"/>
          <w:lang w:val="en"/>
        </w:rPr>
      </w:pPr>
      <w:r w:rsidRPr="00A92F62">
        <w:rPr>
          <w:rFonts w:asciiTheme="majorHAnsi" w:hAnsiTheme="majorHAnsi"/>
          <w:b/>
          <w:bCs/>
          <w:sz w:val="28"/>
          <w:szCs w:val="28"/>
        </w:rPr>
        <w:t>Best Paper Award</w:t>
      </w:r>
      <w:r w:rsidR="00840A0D">
        <w:rPr>
          <w:rFonts w:asciiTheme="majorHAnsi" w:hAnsiTheme="majorHAnsi"/>
          <w:b/>
          <w:bCs/>
          <w:sz w:val="28"/>
          <w:szCs w:val="28"/>
        </w:rPr>
        <w:t>s</w:t>
      </w:r>
      <w:r w:rsidR="00B52A04">
        <w:rPr>
          <w:rFonts w:asciiTheme="majorHAnsi" w:hAnsiTheme="majorHAnsi"/>
          <w:b/>
          <w:bCs/>
          <w:sz w:val="28"/>
          <w:szCs w:val="28"/>
        </w:rPr>
        <w:t xml:space="preserve"> for 201</w:t>
      </w:r>
      <w:r w:rsidR="00E61E36">
        <w:rPr>
          <w:rFonts w:asciiTheme="majorHAnsi" w:hAnsiTheme="majorHAnsi"/>
          <w:b/>
          <w:bCs/>
          <w:sz w:val="28"/>
          <w:szCs w:val="28"/>
        </w:rPr>
        <w:t>9/2020</w:t>
      </w:r>
    </w:p>
    <w:p w14:paraId="0FCF8497" w14:textId="77777777" w:rsidR="00A63162" w:rsidRPr="00D43ADB" w:rsidRDefault="00A63162" w:rsidP="002C1045">
      <w:pPr>
        <w:pBdr>
          <w:top w:val="dotted" w:sz="4" w:space="1" w:color="auto"/>
          <w:left w:val="dotted" w:sz="4" w:space="4" w:color="auto"/>
          <w:bottom w:val="dotted" w:sz="4" w:space="1" w:color="auto"/>
          <w:right w:val="dotted" w:sz="4" w:space="4" w:color="auto"/>
        </w:pBdr>
        <w:spacing w:line="276" w:lineRule="auto"/>
        <w:jc w:val="center"/>
        <w:rPr>
          <w:rFonts w:asciiTheme="majorHAnsi" w:hAnsiTheme="majorHAnsi"/>
          <w:b/>
          <w:bCs/>
          <w:sz w:val="28"/>
          <w:szCs w:val="28"/>
          <w:lang w:val="en-GB"/>
        </w:rPr>
      </w:pPr>
      <w:r w:rsidRPr="00D43ADB">
        <w:rPr>
          <w:rFonts w:asciiTheme="majorHAnsi" w:eastAsia="Times New Roman" w:hAnsiTheme="majorHAnsi"/>
          <w:b/>
          <w:bCs/>
          <w:i/>
          <w:iCs/>
          <w:noProof/>
          <w:color w:val="000000"/>
          <w:sz w:val="28"/>
          <w:szCs w:val="28"/>
          <w:lang w:val="en-GB"/>
        </w:rPr>
        <w:t>Journal of Professions and Organization</w:t>
      </w:r>
    </w:p>
    <w:p w14:paraId="5D3424A9" w14:textId="28EC1BF2" w:rsidR="002C1045" w:rsidRPr="00561E64" w:rsidRDefault="00586182" w:rsidP="00561E64">
      <w:pPr>
        <w:spacing w:line="240" w:lineRule="auto"/>
        <w:jc w:val="both"/>
        <w:rPr>
          <w:rFonts w:asciiTheme="majorHAnsi" w:hAnsiTheme="majorHAnsi"/>
          <w:color w:val="002060"/>
          <w:sz w:val="24"/>
          <w:szCs w:val="24"/>
        </w:rPr>
      </w:pPr>
      <w:r w:rsidRPr="00561E64">
        <w:rPr>
          <w:rFonts w:asciiTheme="majorHAnsi" w:hAnsiTheme="majorHAnsi"/>
          <w:color w:val="002060"/>
          <w:sz w:val="24"/>
          <w:szCs w:val="24"/>
        </w:rPr>
        <w:t>As part</w:t>
      </w:r>
      <w:r w:rsidR="00461484" w:rsidRPr="00561E64">
        <w:rPr>
          <w:rFonts w:asciiTheme="majorHAnsi" w:hAnsiTheme="majorHAnsi"/>
          <w:color w:val="002060"/>
          <w:sz w:val="24"/>
          <w:szCs w:val="24"/>
        </w:rPr>
        <w:t xml:space="preserve"> of its ongoing effort to promote</w:t>
      </w:r>
      <w:r w:rsidR="00960F30" w:rsidRPr="00561E64">
        <w:rPr>
          <w:rFonts w:asciiTheme="majorHAnsi" w:hAnsiTheme="majorHAnsi"/>
          <w:color w:val="002060"/>
          <w:sz w:val="24"/>
          <w:szCs w:val="24"/>
        </w:rPr>
        <w:t xml:space="preserve"> </w:t>
      </w:r>
      <w:r w:rsidR="00461484" w:rsidRPr="00561E64">
        <w:rPr>
          <w:rFonts w:asciiTheme="majorHAnsi" w:hAnsiTheme="majorHAnsi"/>
          <w:color w:val="002060"/>
          <w:sz w:val="24"/>
          <w:szCs w:val="24"/>
        </w:rPr>
        <w:t xml:space="preserve">top </w:t>
      </w:r>
      <w:r w:rsidR="00960F30" w:rsidRPr="00561E64">
        <w:rPr>
          <w:rFonts w:asciiTheme="majorHAnsi" w:hAnsiTheme="majorHAnsi"/>
          <w:color w:val="002060"/>
          <w:sz w:val="24"/>
          <w:szCs w:val="24"/>
        </w:rPr>
        <w:t>quality research on organizational issues concerning professionals</w:t>
      </w:r>
      <w:r w:rsidRPr="00561E64">
        <w:rPr>
          <w:rFonts w:asciiTheme="majorHAnsi" w:hAnsiTheme="majorHAnsi"/>
          <w:color w:val="002060"/>
          <w:sz w:val="24"/>
          <w:szCs w:val="24"/>
        </w:rPr>
        <w:t>,</w:t>
      </w:r>
      <w:r w:rsidR="001A3F77" w:rsidRPr="00561E64">
        <w:rPr>
          <w:rFonts w:asciiTheme="majorHAnsi" w:hAnsiTheme="majorHAnsi"/>
          <w:color w:val="002060"/>
          <w:sz w:val="24"/>
          <w:szCs w:val="24"/>
        </w:rPr>
        <w:t xml:space="preserve"> the</w:t>
      </w:r>
      <w:r w:rsidRPr="00561E64">
        <w:rPr>
          <w:rFonts w:asciiTheme="majorHAnsi" w:hAnsiTheme="majorHAnsi"/>
          <w:color w:val="002060"/>
          <w:sz w:val="24"/>
          <w:szCs w:val="24"/>
        </w:rPr>
        <w:t xml:space="preserve"> </w:t>
      </w:r>
      <w:r w:rsidR="00D43ADB" w:rsidRPr="00561E64">
        <w:rPr>
          <w:rFonts w:asciiTheme="majorHAnsi" w:hAnsiTheme="majorHAnsi"/>
          <w:i/>
          <w:iCs/>
          <w:color w:val="002060"/>
          <w:sz w:val="24"/>
          <w:szCs w:val="24"/>
        </w:rPr>
        <w:t>Journal of Professions and Organization</w:t>
      </w:r>
      <w:r w:rsidR="00A92F62" w:rsidRPr="00561E64">
        <w:rPr>
          <w:rFonts w:asciiTheme="majorHAnsi" w:hAnsiTheme="majorHAnsi"/>
          <w:color w:val="002060"/>
          <w:sz w:val="24"/>
          <w:szCs w:val="24"/>
        </w:rPr>
        <w:t xml:space="preserve"> will </w:t>
      </w:r>
      <w:r w:rsidR="00A43822" w:rsidRPr="00561E64">
        <w:rPr>
          <w:rFonts w:asciiTheme="majorHAnsi" w:hAnsiTheme="majorHAnsi"/>
          <w:color w:val="002060"/>
          <w:sz w:val="24"/>
          <w:szCs w:val="24"/>
        </w:rPr>
        <w:t xml:space="preserve">once again </w:t>
      </w:r>
      <w:r w:rsidR="001A3F77" w:rsidRPr="00561E64">
        <w:rPr>
          <w:rFonts w:asciiTheme="majorHAnsi" w:hAnsiTheme="majorHAnsi"/>
          <w:color w:val="002060"/>
          <w:sz w:val="24"/>
          <w:szCs w:val="24"/>
        </w:rPr>
        <w:t>select</w:t>
      </w:r>
      <w:r w:rsidRPr="00561E64">
        <w:rPr>
          <w:rFonts w:asciiTheme="majorHAnsi" w:hAnsiTheme="majorHAnsi"/>
          <w:color w:val="002060"/>
          <w:sz w:val="24"/>
          <w:szCs w:val="24"/>
        </w:rPr>
        <w:t xml:space="preserve"> an outstanding</w:t>
      </w:r>
      <w:r w:rsidR="00A43822" w:rsidRPr="00561E64">
        <w:rPr>
          <w:rFonts w:asciiTheme="majorHAnsi" w:hAnsiTheme="majorHAnsi"/>
          <w:color w:val="002060"/>
          <w:sz w:val="24"/>
          <w:szCs w:val="24"/>
        </w:rPr>
        <w:t xml:space="preserve"> paper</w:t>
      </w:r>
      <w:r w:rsidR="00840A0D" w:rsidRPr="00561E64">
        <w:rPr>
          <w:rFonts w:asciiTheme="majorHAnsi" w:hAnsiTheme="majorHAnsi"/>
          <w:color w:val="002060"/>
          <w:sz w:val="24"/>
          <w:szCs w:val="24"/>
        </w:rPr>
        <w:t>, along</w:t>
      </w:r>
      <w:r w:rsidR="00561E64" w:rsidRPr="00561E64">
        <w:rPr>
          <w:rFonts w:asciiTheme="majorHAnsi" w:hAnsiTheme="majorHAnsi"/>
          <w:color w:val="002060"/>
          <w:sz w:val="24"/>
          <w:szCs w:val="24"/>
        </w:rPr>
        <w:t xml:space="preserve"> with two</w:t>
      </w:r>
      <w:r w:rsidR="00840A0D" w:rsidRPr="00561E64">
        <w:rPr>
          <w:rFonts w:asciiTheme="majorHAnsi" w:hAnsiTheme="majorHAnsi"/>
          <w:color w:val="002060"/>
          <w:sz w:val="24"/>
          <w:szCs w:val="24"/>
          <w:lang w:val="en-GB"/>
        </w:rPr>
        <w:t xml:space="preserve"> runners</w:t>
      </w:r>
      <w:r w:rsidR="00561E64" w:rsidRPr="00561E64">
        <w:rPr>
          <w:rFonts w:asciiTheme="majorHAnsi" w:hAnsiTheme="majorHAnsi"/>
          <w:color w:val="002060"/>
          <w:sz w:val="24"/>
          <w:szCs w:val="24"/>
          <w:lang w:val="en-GB"/>
        </w:rPr>
        <w:t xml:space="preserve"> up</w:t>
      </w:r>
      <w:r w:rsidR="00840A0D" w:rsidRPr="00561E64">
        <w:rPr>
          <w:rFonts w:asciiTheme="majorHAnsi" w:hAnsiTheme="majorHAnsi"/>
          <w:color w:val="002060"/>
          <w:sz w:val="24"/>
          <w:szCs w:val="24"/>
          <w:lang w:val="en-GB"/>
        </w:rPr>
        <w:t xml:space="preserve">. </w:t>
      </w:r>
      <w:r w:rsidR="00561E64" w:rsidRPr="00561E64">
        <w:rPr>
          <w:rFonts w:asciiTheme="majorHAnsi" w:hAnsiTheme="majorHAnsi"/>
          <w:color w:val="002060"/>
          <w:sz w:val="24"/>
          <w:szCs w:val="24"/>
        </w:rPr>
        <w:t>The</w:t>
      </w:r>
      <w:r w:rsidR="00A43822" w:rsidRPr="00561E64">
        <w:rPr>
          <w:rFonts w:asciiTheme="majorHAnsi" w:hAnsiTheme="majorHAnsi"/>
          <w:color w:val="002060"/>
          <w:sz w:val="24"/>
          <w:szCs w:val="24"/>
        </w:rPr>
        <w:t xml:space="preserve"> </w:t>
      </w:r>
      <w:r w:rsidRPr="00561E64">
        <w:rPr>
          <w:rFonts w:asciiTheme="majorHAnsi" w:hAnsiTheme="majorHAnsi"/>
          <w:color w:val="002060"/>
          <w:sz w:val="24"/>
          <w:szCs w:val="24"/>
        </w:rPr>
        <w:t>Best Paper Award</w:t>
      </w:r>
      <w:r w:rsidR="00840A0D" w:rsidRPr="00561E64">
        <w:rPr>
          <w:rFonts w:asciiTheme="majorHAnsi" w:hAnsiTheme="majorHAnsi"/>
          <w:color w:val="002060"/>
          <w:sz w:val="24"/>
          <w:szCs w:val="24"/>
        </w:rPr>
        <w:t xml:space="preserve">s, along with a $500 prize for the winner and $250 for each </w:t>
      </w:r>
      <w:r w:rsidR="00561E64" w:rsidRPr="00561E64">
        <w:rPr>
          <w:rFonts w:asciiTheme="majorHAnsi" w:hAnsiTheme="majorHAnsi"/>
          <w:color w:val="002060"/>
          <w:sz w:val="24"/>
          <w:szCs w:val="24"/>
        </w:rPr>
        <w:t xml:space="preserve">for the runners up, are </w:t>
      </w:r>
      <w:r w:rsidR="006C2FCB" w:rsidRPr="00561E64">
        <w:rPr>
          <w:rFonts w:asciiTheme="majorHAnsi" w:hAnsiTheme="majorHAnsi"/>
          <w:color w:val="002060"/>
          <w:sz w:val="24"/>
          <w:szCs w:val="24"/>
          <w:lang w:val="en-GB"/>
        </w:rPr>
        <w:t xml:space="preserve">sponsored by the Professional Service Firms hub at Oxford </w:t>
      </w:r>
      <w:proofErr w:type="spellStart"/>
      <w:r w:rsidR="006C2FCB" w:rsidRPr="00561E64">
        <w:rPr>
          <w:rFonts w:asciiTheme="majorHAnsi" w:hAnsiTheme="majorHAnsi"/>
          <w:color w:val="002060"/>
          <w:sz w:val="24"/>
          <w:szCs w:val="24"/>
          <w:lang w:val="en-GB"/>
        </w:rPr>
        <w:t>Saïd</w:t>
      </w:r>
      <w:proofErr w:type="spellEnd"/>
      <w:r w:rsidR="006C2FCB" w:rsidRPr="00561E64">
        <w:rPr>
          <w:rFonts w:asciiTheme="majorHAnsi" w:hAnsiTheme="majorHAnsi"/>
          <w:color w:val="002060"/>
          <w:sz w:val="24"/>
          <w:szCs w:val="24"/>
          <w:lang w:val="en-GB"/>
        </w:rPr>
        <w:t>.</w:t>
      </w:r>
      <w:r w:rsidR="002C1045" w:rsidRPr="00561E64">
        <w:rPr>
          <w:rFonts w:asciiTheme="majorHAnsi" w:hAnsiTheme="majorHAnsi"/>
          <w:color w:val="002060"/>
          <w:sz w:val="24"/>
          <w:szCs w:val="24"/>
        </w:rPr>
        <w:t xml:space="preserve"> </w:t>
      </w:r>
    </w:p>
    <w:p w14:paraId="0204AE72" w14:textId="357BA312" w:rsidR="007E683C" w:rsidRPr="00561E64" w:rsidRDefault="002C1045" w:rsidP="00E0108E">
      <w:pPr>
        <w:spacing w:line="240" w:lineRule="auto"/>
        <w:jc w:val="both"/>
        <w:rPr>
          <w:rFonts w:asciiTheme="majorHAnsi" w:hAnsiTheme="majorHAnsi"/>
          <w:color w:val="002060"/>
          <w:sz w:val="24"/>
          <w:szCs w:val="24"/>
          <w:lang w:val="en"/>
        </w:rPr>
      </w:pPr>
      <w:r w:rsidRPr="00561E64">
        <w:rPr>
          <w:rFonts w:asciiTheme="majorHAnsi" w:hAnsiTheme="majorHAnsi"/>
          <w:color w:val="002060"/>
          <w:sz w:val="24"/>
          <w:szCs w:val="24"/>
        </w:rPr>
        <w:t xml:space="preserve"> </w:t>
      </w:r>
      <w:r w:rsidRPr="00561E64">
        <w:rPr>
          <w:rFonts w:asciiTheme="majorHAnsi" w:hAnsiTheme="majorHAnsi"/>
          <w:i/>
          <w:iCs/>
          <w:color w:val="002060"/>
          <w:sz w:val="24"/>
          <w:szCs w:val="24"/>
          <w:lang w:val="en-GB"/>
        </w:rPr>
        <w:t>JPO</w:t>
      </w:r>
      <w:r w:rsidRPr="00561E64">
        <w:rPr>
          <w:rFonts w:asciiTheme="majorHAnsi" w:hAnsiTheme="majorHAnsi"/>
          <w:color w:val="002060"/>
          <w:sz w:val="24"/>
          <w:szCs w:val="24"/>
          <w:lang w:val="en-GB"/>
        </w:rPr>
        <w:t xml:space="preserve">’s </w:t>
      </w:r>
      <w:r w:rsidR="001B28BB" w:rsidRPr="00561E64">
        <w:rPr>
          <w:rFonts w:asciiTheme="majorHAnsi" w:hAnsiTheme="majorHAnsi"/>
          <w:color w:val="002060"/>
          <w:sz w:val="24"/>
          <w:szCs w:val="24"/>
          <w:lang w:val="en-GB"/>
        </w:rPr>
        <w:t xml:space="preserve">editors </w:t>
      </w:r>
      <w:r w:rsidR="004E1941" w:rsidRPr="00561E64">
        <w:rPr>
          <w:rFonts w:asciiTheme="majorHAnsi" w:hAnsiTheme="majorHAnsi"/>
          <w:color w:val="002060"/>
          <w:sz w:val="24"/>
          <w:szCs w:val="24"/>
          <w:lang w:val="en-GB"/>
        </w:rPr>
        <w:t xml:space="preserve">and editorial board members </w:t>
      </w:r>
      <w:r w:rsidR="001B28BB" w:rsidRPr="00561E64">
        <w:rPr>
          <w:rFonts w:asciiTheme="majorHAnsi" w:hAnsiTheme="majorHAnsi"/>
          <w:color w:val="002060"/>
          <w:sz w:val="24"/>
          <w:szCs w:val="24"/>
          <w:lang w:val="en-GB"/>
        </w:rPr>
        <w:t>will select the best paper</w:t>
      </w:r>
      <w:r w:rsidR="00E0108E">
        <w:rPr>
          <w:rFonts w:asciiTheme="majorHAnsi" w:hAnsiTheme="majorHAnsi"/>
          <w:color w:val="002060"/>
          <w:sz w:val="24"/>
          <w:szCs w:val="24"/>
          <w:lang w:val="en-GB"/>
        </w:rPr>
        <w:t>s</w:t>
      </w:r>
      <w:r w:rsidR="001B28BB" w:rsidRPr="00561E64">
        <w:rPr>
          <w:rFonts w:asciiTheme="majorHAnsi" w:hAnsiTheme="majorHAnsi"/>
          <w:color w:val="002060"/>
          <w:sz w:val="24"/>
          <w:szCs w:val="24"/>
          <w:lang w:val="en-GB"/>
        </w:rPr>
        <w:t xml:space="preserve"> </w:t>
      </w:r>
      <w:r w:rsidR="00E0108E">
        <w:rPr>
          <w:rFonts w:asciiTheme="majorHAnsi" w:hAnsiTheme="majorHAnsi"/>
          <w:color w:val="002060"/>
          <w:sz w:val="24"/>
          <w:szCs w:val="24"/>
          <w:lang w:val="en-GB"/>
        </w:rPr>
        <w:t xml:space="preserve">from those </w:t>
      </w:r>
      <w:r w:rsidR="00A92F62" w:rsidRPr="00561E64">
        <w:rPr>
          <w:rFonts w:asciiTheme="majorHAnsi" w:hAnsiTheme="majorHAnsi"/>
          <w:color w:val="002060"/>
          <w:sz w:val="24"/>
          <w:szCs w:val="24"/>
          <w:lang w:val="en-GB"/>
        </w:rPr>
        <w:t xml:space="preserve">submitted </w:t>
      </w:r>
      <w:r w:rsidR="00967DEA" w:rsidRPr="00561E64">
        <w:rPr>
          <w:rFonts w:asciiTheme="majorHAnsi" w:hAnsiTheme="majorHAnsi"/>
          <w:color w:val="002060"/>
          <w:sz w:val="24"/>
          <w:szCs w:val="24"/>
          <w:lang w:val="en-GB"/>
        </w:rPr>
        <w:t xml:space="preserve">during our </w:t>
      </w:r>
      <w:r w:rsidR="002B512A">
        <w:rPr>
          <w:rFonts w:asciiTheme="majorHAnsi" w:hAnsiTheme="majorHAnsi"/>
          <w:color w:val="002060"/>
          <w:sz w:val="24"/>
          <w:szCs w:val="24"/>
          <w:lang w:val="en-GB"/>
        </w:rPr>
        <w:t>seven</w:t>
      </w:r>
      <w:r w:rsidRPr="00561E64">
        <w:rPr>
          <w:rFonts w:asciiTheme="majorHAnsi" w:hAnsiTheme="majorHAnsi"/>
          <w:color w:val="002060"/>
          <w:sz w:val="24"/>
          <w:szCs w:val="24"/>
          <w:lang w:val="en-GB"/>
        </w:rPr>
        <w:t>th</w:t>
      </w:r>
      <w:r w:rsidR="00A43822" w:rsidRPr="00561E64">
        <w:rPr>
          <w:rFonts w:asciiTheme="majorHAnsi" w:hAnsiTheme="majorHAnsi"/>
          <w:color w:val="002060"/>
          <w:sz w:val="24"/>
          <w:szCs w:val="24"/>
          <w:lang w:val="en-GB"/>
        </w:rPr>
        <w:t xml:space="preserve"> </w:t>
      </w:r>
      <w:r w:rsidR="008876AD" w:rsidRPr="00561E64">
        <w:rPr>
          <w:rFonts w:asciiTheme="majorHAnsi" w:hAnsiTheme="majorHAnsi"/>
          <w:color w:val="002060"/>
          <w:sz w:val="24"/>
          <w:szCs w:val="24"/>
          <w:lang w:val="en-GB"/>
        </w:rPr>
        <w:t>year of accepting submission</w:t>
      </w:r>
      <w:r w:rsidR="004E1941" w:rsidRPr="00561E64">
        <w:rPr>
          <w:rFonts w:asciiTheme="majorHAnsi" w:hAnsiTheme="majorHAnsi"/>
          <w:color w:val="002060"/>
          <w:sz w:val="24"/>
          <w:szCs w:val="24"/>
          <w:lang w:val="en-GB"/>
        </w:rPr>
        <w:t>s</w:t>
      </w:r>
      <w:r w:rsidR="008876AD" w:rsidRPr="00561E64">
        <w:rPr>
          <w:rFonts w:asciiTheme="majorHAnsi" w:hAnsiTheme="majorHAnsi"/>
          <w:color w:val="002060"/>
          <w:sz w:val="24"/>
          <w:szCs w:val="24"/>
          <w:lang w:val="en-GB"/>
        </w:rPr>
        <w:t xml:space="preserve"> – </w:t>
      </w:r>
      <w:r w:rsidR="0020652C" w:rsidRPr="00561E64">
        <w:rPr>
          <w:rFonts w:asciiTheme="majorHAnsi" w:hAnsiTheme="majorHAnsi"/>
          <w:color w:val="002060"/>
          <w:sz w:val="24"/>
          <w:szCs w:val="24"/>
          <w:lang w:val="en-GB"/>
        </w:rPr>
        <w:t>i.e.</w:t>
      </w:r>
      <w:r w:rsidR="008876AD" w:rsidRPr="00561E64">
        <w:rPr>
          <w:rFonts w:asciiTheme="majorHAnsi" w:hAnsiTheme="majorHAnsi"/>
          <w:color w:val="002060"/>
          <w:sz w:val="24"/>
          <w:szCs w:val="24"/>
          <w:lang w:val="en-GB"/>
        </w:rPr>
        <w:t>, the year to 31 March</w:t>
      </w:r>
      <w:r w:rsidR="00167E91" w:rsidRPr="00561E64">
        <w:rPr>
          <w:rFonts w:asciiTheme="majorHAnsi" w:hAnsiTheme="majorHAnsi"/>
          <w:color w:val="002060"/>
          <w:sz w:val="24"/>
          <w:szCs w:val="24"/>
          <w:lang w:val="en-GB"/>
        </w:rPr>
        <w:t>, 2020</w:t>
      </w:r>
      <w:r w:rsidR="00474B33" w:rsidRPr="00561E64">
        <w:rPr>
          <w:rFonts w:asciiTheme="majorHAnsi" w:hAnsiTheme="majorHAnsi"/>
          <w:color w:val="002060"/>
          <w:sz w:val="24"/>
          <w:szCs w:val="24"/>
          <w:lang w:val="en-GB"/>
        </w:rPr>
        <w:t>.</w:t>
      </w:r>
      <w:r w:rsidR="00FE23CB" w:rsidRPr="00561E64">
        <w:rPr>
          <w:rFonts w:asciiTheme="majorHAnsi" w:hAnsiTheme="majorHAnsi"/>
          <w:color w:val="002060"/>
          <w:sz w:val="24"/>
          <w:szCs w:val="24"/>
          <w:lang w:val="en-GB"/>
        </w:rPr>
        <w:t xml:space="preserve"> </w:t>
      </w:r>
      <w:r w:rsidR="00474B33" w:rsidRPr="00561E64">
        <w:rPr>
          <w:rFonts w:asciiTheme="majorHAnsi" w:hAnsiTheme="majorHAnsi"/>
          <w:color w:val="002060"/>
          <w:sz w:val="24"/>
          <w:szCs w:val="24"/>
          <w:lang w:val="en-GB"/>
        </w:rPr>
        <w:t xml:space="preserve"> </w:t>
      </w:r>
      <w:r w:rsidR="007E683C" w:rsidRPr="00561E64">
        <w:rPr>
          <w:rFonts w:asciiTheme="majorHAnsi" w:hAnsiTheme="majorHAnsi"/>
          <w:color w:val="002060"/>
          <w:sz w:val="24"/>
          <w:szCs w:val="24"/>
          <w:lang w:val="en-GB"/>
        </w:rPr>
        <w:t>The winn</w:t>
      </w:r>
      <w:r w:rsidR="00E0108E">
        <w:rPr>
          <w:rFonts w:asciiTheme="majorHAnsi" w:hAnsiTheme="majorHAnsi"/>
          <w:color w:val="002060"/>
          <w:sz w:val="24"/>
          <w:szCs w:val="24"/>
          <w:lang w:val="en-GB"/>
        </w:rPr>
        <w:t xml:space="preserve">ers </w:t>
      </w:r>
      <w:r w:rsidR="007E683C" w:rsidRPr="00561E64">
        <w:rPr>
          <w:rFonts w:asciiTheme="majorHAnsi" w:hAnsiTheme="majorHAnsi"/>
          <w:color w:val="002060"/>
          <w:sz w:val="24"/>
          <w:szCs w:val="24"/>
          <w:lang w:val="en-GB"/>
        </w:rPr>
        <w:t xml:space="preserve">will be announced </w:t>
      </w:r>
      <w:r w:rsidR="00E0108E">
        <w:rPr>
          <w:rFonts w:asciiTheme="majorHAnsi" w:hAnsiTheme="majorHAnsi"/>
          <w:color w:val="002060"/>
          <w:sz w:val="24"/>
          <w:szCs w:val="24"/>
          <w:lang w:val="en-GB"/>
        </w:rPr>
        <w:t>at</w:t>
      </w:r>
      <w:r w:rsidR="007E683C" w:rsidRPr="00561E64">
        <w:rPr>
          <w:rFonts w:asciiTheme="majorHAnsi" w:hAnsiTheme="majorHAnsi"/>
          <w:color w:val="002060"/>
          <w:sz w:val="24"/>
          <w:szCs w:val="24"/>
          <w:lang w:val="en-GB"/>
        </w:rPr>
        <w:t xml:space="preserve"> the </w:t>
      </w:r>
      <w:r w:rsidR="007E683C" w:rsidRPr="00561E64">
        <w:rPr>
          <w:rFonts w:asciiTheme="majorHAnsi" w:hAnsiTheme="majorHAnsi"/>
          <w:color w:val="002060"/>
          <w:sz w:val="24"/>
          <w:szCs w:val="24"/>
          <w:lang w:val="en"/>
        </w:rPr>
        <w:t>Profes</w:t>
      </w:r>
      <w:r w:rsidR="00055707" w:rsidRPr="00561E64">
        <w:rPr>
          <w:rFonts w:asciiTheme="majorHAnsi" w:hAnsiTheme="majorHAnsi"/>
          <w:color w:val="002060"/>
          <w:sz w:val="24"/>
          <w:szCs w:val="24"/>
          <w:lang w:val="en"/>
        </w:rPr>
        <w:t>sional Service Firms conference</w:t>
      </w:r>
      <w:r w:rsidR="00474B33" w:rsidRPr="00561E64">
        <w:rPr>
          <w:rFonts w:asciiTheme="majorHAnsi" w:hAnsiTheme="majorHAnsi"/>
          <w:color w:val="002060"/>
          <w:sz w:val="24"/>
          <w:szCs w:val="24"/>
          <w:lang w:val="en"/>
        </w:rPr>
        <w:t xml:space="preserve"> in </w:t>
      </w:r>
      <w:r w:rsidR="00167E91" w:rsidRPr="00561E64">
        <w:rPr>
          <w:rFonts w:asciiTheme="majorHAnsi" w:hAnsiTheme="majorHAnsi"/>
          <w:color w:val="002060"/>
          <w:sz w:val="24"/>
          <w:szCs w:val="24"/>
          <w:lang w:val="en"/>
        </w:rPr>
        <w:t>Oxford, July 2020</w:t>
      </w:r>
      <w:r w:rsidR="00055707" w:rsidRPr="00561E64">
        <w:rPr>
          <w:rFonts w:asciiTheme="majorHAnsi" w:hAnsiTheme="majorHAnsi"/>
          <w:color w:val="002060"/>
          <w:sz w:val="24"/>
          <w:szCs w:val="24"/>
          <w:lang w:val="en"/>
        </w:rPr>
        <w:t xml:space="preserve">. </w:t>
      </w:r>
    </w:p>
    <w:p w14:paraId="090B16E5" w14:textId="08A4FC59" w:rsidR="002526CF" w:rsidRPr="00CA54F1" w:rsidRDefault="001B28BB" w:rsidP="00040AC5">
      <w:pPr>
        <w:spacing w:line="240" w:lineRule="auto"/>
        <w:jc w:val="both"/>
        <w:rPr>
          <w:rFonts w:asciiTheme="majorHAnsi" w:hAnsiTheme="majorHAnsi"/>
          <w:color w:val="002060"/>
          <w:sz w:val="24"/>
          <w:szCs w:val="24"/>
        </w:rPr>
      </w:pPr>
      <w:r w:rsidRPr="00CA54F1">
        <w:rPr>
          <w:rFonts w:asciiTheme="majorHAnsi" w:hAnsiTheme="majorHAnsi"/>
          <w:color w:val="002060"/>
          <w:sz w:val="24"/>
          <w:szCs w:val="24"/>
          <w:lang w:val="en-GB"/>
        </w:rPr>
        <w:t xml:space="preserve">In selecting the winner, the </w:t>
      </w:r>
      <w:r w:rsidR="00E03551" w:rsidRPr="00CA54F1">
        <w:rPr>
          <w:rFonts w:asciiTheme="majorHAnsi" w:hAnsiTheme="majorHAnsi"/>
          <w:color w:val="002060"/>
          <w:sz w:val="24"/>
          <w:szCs w:val="24"/>
          <w:lang w:val="en-GB"/>
        </w:rPr>
        <w:t xml:space="preserve">editors </w:t>
      </w:r>
      <w:r w:rsidR="00E03551" w:rsidRPr="00CA54F1">
        <w:rPr>
          <w:rFonts w:asciiTheme="majorHAnsi" w:eastAsia="Times New Roman" w:hAnsiTheme="majorHAnsi" w:cs="Times New Roman"/>
          <w:color w:val="002060"/>
          <w:sz w:val="24"/>
          <w:szCs w:val="24"/>
        </w:rPr>
        <w:t xml:space="preserve">will </w:t>
      </w:r>
      <w:r w:rsidR="002526CF" w:rsidRPr="00CA54F1">
        <w:rPr>
          <w:rFonts w:asciiTheme="majorHAnsi" w:eastAsia="Times New Roman" w:hAnsiTheme="majorHAnsi" w:cs="Times New Roman"/>
          <w:color w:val="002060"/>
          <w:sz w:val="24"/>
          <w:szCs w:val="24"/>
        </w:rPr>
        <w:t xml:space="preserve">reflect on </w:t>
      </w:r>
      <w:r w:rsidR="002526CF" w:rsidRPr="00CA54F1">
        <w:rPr>
          <w:rFonts w:asciiTheme="majorHAnsi" w:eastAsia="Times New Roman" w:hAnsiTheme="majorHAnsi" w:cs="Times New Roman"/>
          <w:i/>
          <w:iCs/>
          <w:color w:val="002060"/>
          <w:sz w:val="24"/>
          <w:szCs w:val="24"/>
        </w:rPr>
        <w:t>JPO</w:t>
      </w:r>
      <w:r w:rsidR="002526CF" w:rsidRPr="00CA54F1">
        <w:rPr>
          <w:rFonts w:asciiTheme="majorHAnsi" w:eastAsia="Times New Roman" w:hAnsiTheme="majorHAnsi" w:cs="Times New Roman"/>
          <w:color w:val="002060"/>
          <w:sz w:val="24"/>
          <w:szCs w:val="24"/>
        </w:rPr>
        <w:t xml:space="preserve">’s ambitions to combine perspectives of professionalism and organization, and </w:t>
      </w:r>
      <w:r w:rsidR="00E03551" w:rsidRPr="00CA54F1">
        <w:rPr>
          <w:rFonts w:asciiTheme="majorHAnsi" w:eastAsia="Times New Roman" w:hAnsiTheme="majorHAnsi" w:cs="Times New Roman"/>
          <w:color w:val="002060"/>
          <w:sz w:val="24"/>
          <w:szCs w:val="24"/>
        </w:rPr>
        <w:t xml:space="preserve">take into consideration the technical quality of the paper, the contribution to theory, and the empirical significance of the paper’s findings. They will also consider such factors as innovation, significance to the research community, impact, and </w:t>
      </w:r>
      <w:r w:rsidR="00A92F62" w:rsidRPr="00CA54F1">
        <w:rPr>
          <w:rFonts w:asciiTheme="majorHAnsi" w:eastAsia="Times New Roman" w:hAnsiTheme="majorHAnsi" w:cs="Times New Roman"/>
          <w:color w:val="002060"/>
          <w:sz w:val="24"/>
          <w:szCs w:val="24"/>
        </w:rPr>
        <w:t xml:space="preserve">the </w:t>
      </w:r>
      <w:r w:rsidR="00E03551" w:rsidRPr="00CA54F1">
        <w:rPr>
          <w:rFonts w:asciiTheme="majorHAnsi" w:eastAsia="Times New Roman" w:hAnsiTheme="majorHAnsi" w:cs="Times New Roman"/>
          <w:color w:val="002060"/>
          <w:sz w:val="24"/>
          <w:szCs w:val="24"/>
        </w:rPr>
        <w:t>clarity of presentation.</w:t>
      </w:r>
    </w:p>
    <w:p w14:paraId="25DF1D6D" w14:textId="77777777" w:rsidR="00586182" w:rsidRPr="007C7D40" w:rsidRDefault="00960F30" w:rsidP="00040AC5">
      <w:pPr>
        <w:spacing w:line="240" w:lineRule="auto"/>
        <w:jc w:val="both"/>
        <w:rPr>
          <w:rFonts w:asciiTheme="majorHAnsi" w:hAnsiTheme="majorHAnsi" w:cstheme="majorBidi"/>
          <w:b/>
          <w:bCs/>
          <w:sz w:val="23"/>
          <w:szCs w:val="23"/>
          <w:lang w:val="en-GB"/>
        </w:rPr>
      </w:pPr>
      <w:r w:rsidRPr="007C7D40">
        <w:rPr>
          <w:rFonts w:asciiTheme="majorHAnsi" w:hAnsiTheme="majorHAnsi"/>
          <w:b/>
          <w:bCs/>
          <w:color w:val="002060"/>
          <w:sz w:val="23"/>
          <w:szCs w:val="23"/>
          <w:lang w:val="en-GB"/>
        </w:rPr>
        <w:t xml:space="preserve">Brief statement of </w:t>
      </w:r>
      <w:r w:rsidRPr="007C7D40">
        <w:rPr>
          <w:rFonts w:asciiTheme="majorHAnsi" w:hAnsiTheme="majorHAnsi"/>
          <w:b/>
          <w:bCs/>
          <w:i/>
          <w:iCs/>
          <w:color w:val="002060"/>
          <w:sz w:val="23"/>
          <w:szCs w:val="23"/>
          <w:lang w:val="en-GB"/>
        </w:rPr>
        <w:t>JPO</w:t>
      </w:r>
      <w:r w:rsidRPr="007C7D40">
        <w:rPr>
          <w:rFonts w:asciiTheme="majorHAnsi" w:hAnsiTheme="majorHAnsi"/>
          <w:b/>
          <w:bCs/>
          <w:color w:val="002060"/>
          <w:sz w:val="23"/>
          <w:szCs w:val="23"/>
          <w:lang w:val="en-GB"/>
        </w:rPr>
        <w:t xml:space="preserve">’s </w:t>
      </w:r>
      <w:r w:rsidR="00D43ADB" w:rsidRPr="007C7D40">
        <w:rPr>
          <w:rFonts w:asciiTheme="majorHAnsi" w:hAnsiTheme="majorHAnsi"/>
          <w:b/>
          <w:bCs/>
          <w:color w:val="002060"/>
          <w:sz w:val="23"/>
          <w:szCs w:val="23"/>
          <w:lang w:val="en-GB"/>
        </w:rPr>
        <w:t xml:space="preserve">mission and </w:t>
      </w:r>
      <w:r w:rsidRPr="007C7D40">
        <w:rPr>
          <w:rFonts w:asciiTheme="majorHAnsi" w:hAnsiTheme="majorHAnsi"/>
          <w:b/>
          <w:bCs/>
          <w:color w:val="002060"/>
          <w:sz w:val="23"/>
          <w:szCs w:val="23"/>
          <w:lang w:val="en-GB"/>
        </w:rPr>
        <w:t>scope:</w:t>
      </w:r>
    </w:p>
    <w:p w14:paraId="7B78A913" w14:textId="4CC60BD0" w:rsidR="00586182" w:rsidRPr="007C7D40" w:rsidRDefault="00586182" w:rsidP="00167E91">
      <w:pPr>
        <w:pStyle w:val="ListParagraph"/>
        <w:numPr>
          <w:ilvl w:val="0"/>
          <w:numId w:val="3"/>
        </w:numPr>
        <w:ind w:left="426"/>
        <w:jc w:val="both"/>
        <w:rPr>
          <w:rFonts w:asciiTheme="majorHAnsi" w:hAnsiTheme="majorHAnsi"/>
          <w:color w:val="17375E"/>
          <w:sz w:val="23"/>
          <w:szCs w:val="23"/>
        </w:rPr>
      </w:pPr>
      <w:r w:rsidRPr="007C7D40">
        <w:rPr>
          <w:rFonts w:asciiTheme="majorHAnsi" w:hAnsiTheme="majorHAnsi"/>
          <w:i/>
          <w:iCs/>
          <w:color w:val="17375E"/>
          <w:sz w:val="23"/>
          <w:szCs w:val="23"/>
        </w:rPr>
        <w:t>Journal of Professions and Organization</w:t>
      </w:r>
      <w:r w:rsidR="00960F30" w:rsidRPr="007C7D40">
        <w:rPr>
          <w:rFonts w:asciiTheme="majorHAnsi" w:hAnsiTheme="majorHAnsi"/>
          <w:color w:val="17375E"/>
          <w:sz w:val="23"/>
          <w:szCs w:val="23"/>
        </w:rPr>
        <w:t xml:space="preserve"> </w:t>
      </w:r>
      <w:r w:rsidR="00167E91">
        <w:rPr>
          <w:rFonts w:asciiTheme="majorHAnsi" w:hAnsiTheme="majorHAnsi"/>
          <w:color w:val="17375E"/>
          <w:sz w:val="23"/>
          <w:szCs w:val="23"/>
        </w:rPr>
        <w:t xml:space="preserve">is </w:t>
      </w:r>
      <w:r w:rsidRPr="007C7D40">
        <w:rPr>
          <w:rFonts w:asciiTheme="majorHAnsi" w:hAnsiTheme="majorHAnsi"/>
          <w:color w:val="17375E"/>
          <w:sz w:val="23"/>
          <w:szCs w:val="23"/>
        </w:rPr>
        <w:t xml:space="preserve">the premier outlet for research on organizational issues concerning professionals, including their work, management and their broader social and economic role. </w:t>
      </w:r>
    </w:p>
    <w:p w14:paraId="5EFB2CDF" w14:textId="77777777" w:rsidR="00586182" w:rsidRPr="007C7D40" w:rsidRDefault="00586182" w:rsidP="00040AC5">
      <w:pPr>
        <w:pStyle w:val="ListParagraph"/>
        <w:numPr>
          <w:ilvl w:val="0"/>
          <w:numId w:val="3"/>
        </w:numPr>
        <w:ind w:left="426"/>
        <w:jc w:val="both"/>
        <w:rPr>
          <w:rFonts w:asciiTheme="majorHAnsi" w:hAnsiTheme="majorHAnsi"/>
          <w:color w:val="17375E"/>
          <w:sz w:val="23"/>
          <w:szCs w:val="23"/>
        </w:rPr>
      </w:pPr>
      <w:r w:rsidRPr="007C7D40">
        <w:rPr>
          <w:rFonts w:asciiTheme="majorHAnsi" w:hAnsiTheme="majorHAnsi"/>
          <w:color w:val="17375E"/>
          <w:sz w:val="23"/>
          <w:szCs w:val="23"/>
        </w:rPr>
        <w:t>We are particularly receptive to interdisciplinary perspectives and contributions, with strong interests in all professional organizations, professional service firms, and public sector professionals, including professionals in healthcare and nonprofit organizations.</w:t>
      </w:r>
    </w:p>
    <w:p w14:paraId="64F5414C" w14:textId="77777777" w:rsidR="00586182" w:rsidRPr="007C7D40" w:rsidRDefault="00586182" w:rsidP="00040AC5">
      <w:pPr>
        <w:pStyle w:val="ListParagraph"/>
        <w:numPr>
          <w:ilvl w:val="0"/>
          <w:numId w:val="3"/>
        </w:numPr>
        <w:ind w:left="426"/>
        <w:jc w:val="both"/>
        <w:rPr>
          <w:rFonts w:asciiTheme="majorHAnsi" w:hAnsiTheme="majorHAnsi"/>
          <w:color w:val="17375E"/>
          <w:sz w:val="23"/>
          <w:szCs w:val="23"/>
        </w:rPr>
      </w:pPr>
      <w:r w:rsidRPr="007C7D40">
        <w:rPr>
          <w:rFonts w:asciiTheme="majorHAnsi" w:hAnsiTheme="majorHAnsi"/>
          <w:color w:val="17375E"/>
          <w:sz w:val="23"/>
          <w:szCs w:val="23"/>
        </w:rPr>
        <w:t>While recognizing the importance of traditional professions, we welcome work on new professions, occupations claiming some professional status, and on knowledge workers more generally.</w:t>
      </w:r>
    </w:p>
    <w:p w14:paraId="2FD6FC18" w14:textId="77777777" w:rsidR="00A63162" w:rsidRPr="007C7D40" w:rsidRDefault="00586182" w:rsidP="00040AC5">
      <w:pPr>
        <w:numPr>
          <w:ilvl w:val="0"/>
          <w:numId w:val="3"/>
        </w:numPr>
        <w:spacing w:after="0" w:line="240" w:lineRule="auto"/>
        <w:ind w:left="426"/>
        <w:jc w:val="both"/>
        <w:rPr>
          <w:rFonts w:asciiTheme="majorHAnsi" w:hAnsiTheme="majorHAnsi"/>
          <w:color w:val="17375E"/>
          <w:sz w:val="23"/>
          <w:szCs w:val="23"/>
          <w:lang w:val="en"/>
        </w:rPr>
      </w:pPr>
      <w:r w:rsidRPr="007C7D40">
        <w:rPr>
          <w:rFonts w:asciiTheme="majorHAnsi" w:hAnsiTheme="majorHAnsi"/>
          <w:color w:val="17375E"/>
          <w:sz w:val="23"/>
          <w:szCs w:val="23"/>
        </w:rPr>
        <w:t xml:space="preserve">We </w:t>
      </w:r>
      <w:r w:rsidRPr="007C7D40">
        <w:rPr>
          <w:rFonts w:asciiTheme="majorHAnsi" w:hAnsiTheme="majorHAnsi"/>
          <w:color w:val="17375E"/>
          <w:sz w:val="23"/>
          <w:szCs w:val="23"/>
          <w:lang w:val="en"/>
        </w:rPr>
        <w:t>welcome both qualitative and quantitative methods as well as innovative research utilizing new methodologies and analysis.</w:t>
      </w:r>
    </w:p>
    <w:p w14:paraId="6591E561" w14:textId="77777777" w:rsidR="00960F30" w:rsidRPr="007C7D40" w:rsidRDefault="00960F30" w:rsidP="00040AC5">
      <w:pPr>
        <w:spacing w:after="0" w:line="240" w:lineRule="auto"/>
        <w:rPr>
          <w:rFonts w:asciiTheme="majorHAnsi" w:hAnsiTheme="majorHAnsi"/>
          <w:color w:val="17375E"/>
          <w:sz w:val="23"/>
          <w:szCs w:val="23"/>
          <w:lang w:val="en"/>
        </w:rPr>
      </w:pPr>
    </w:p>
    <w:p w14:paraId="2CC70482" w14:textId="77777777" w:rsidR="00E0108E" w:rsidRDefault="00E0108E" w:rsidP="00E0108E">
      <w:pPr>
        <w:spacing w:after="0" w:line="240" w:lineRule="auto"/>
        <w:ind w:left="567" w:hanging="567"/>
        <w:rPr>
          <w:rFonts w:asciiTheme="majorHAnsi" w:hAnsiTheme="majorHAnsi" w:cstheme="majorBidi"/>
          <w:color w:val="002060"/>
          <w:sz w:val="23"/>
          <w:szCs w:val="23"/>
        </w:rPr>
      </w:pPr>
      <w:r>
        <w:rPr>
          <w:rFonts w:asciiTheme="majorHAnsi" w:hAnsiTheme="majorHAnsi" w:cstheme="majorBidi"/>
          <w:color w:val="002060"/>
          <w:sz w:val="23"/>
          <w:szCs w:val="23"/>
        </w:rPr>
        <w:t>For details of the winners of this award for the past few years</w:t>
      </w:r>
      <w:r w:rsidRPr="007C7D40">
        <w:rPr>
          <w:rFonts w:asciiTheme="majorHAnsi" w:hAnsiTheme="majorHAnsi" w:cstheme="majorBidi"/>
          <w:color w:val="002060"/>
          <w:sz w:val="23"/>
          <w:szCs w:val="23"/>
        </w:rPr>
        <w:t>,</w:t>
      </w:r>
      <w:r>
        <w:rPr>
          <w:rFonts w:asciiTheme="majorHAnsi" w:hAnsiTheme="majorHAnsi" w:cstheme="majorBidi"/>
          <w:color w:val="002060"/>
          <w:sz w:val="23"/>
          <w:szCs w:val="23"/>
        </w:rPr>
        <w:t xml:space="preserve"> see</w:t>
      </w:r>
      <w:proofErr w:type="gramStart"/>
      <w:r>
        <w:rPr>
          <w:rFonts w:asciiTheme="majorHAnsi" w:hAnsiTheme="majorHAnsi" w:cstheme="majorBidi"/>
          <w:color w:val="002060"/>
          <w:sz w:val="23"/>
          <w:szCs w:val="23"/>
        </w:rPr>
        <w:t>:</w:t>
      </w:r>
      <w:proofErr w:type="gramEnd"/>
      <w:r>
        <w:rPr>
          <w:rFonts w:asciiTheme="majorHAnsi" w:hAnsiTheme="majorHAnsi" w:cstheme="majorBidi"/>
          <w:color w:val="002060"/>
          <w:sz w:val="23"/>
          <w:szCs w:val="23"/>
        </w:rPr>
        <w:br/>
      </w:r>
      <w:hyperlink r:id="rId7" w:history="1">
        <w:r w:rsidRPr="00A34C89">
          <w:rPr>
            <w:rStyle w:val="Hyperlink"/>
            <w:rFonts w:asciiTheme="majorHAnsi" w:hAnsiTheme="majorHAnsi" w:cstheme="majorBidi"/>
            <w:sz w:val="23"/>
            <w:szCs w:val="23"/>
          </w:rPr>
          <w:t>https://academic.oup.com/jpo/pages/best-paper-award</w:t>
        </w:r>
      </w:hyperlink>
      <w:r>
        <w:rPr>
          <w:rFonts w:asciiTheme="majorHAnsi" w:hAnsiTheme="majorHAnsi" w:cstheme="majorBidi"/>
          <w:color w:val="002060"/>
          <w:sz w:val="23"/>
          <w:szCs w:val="23"/>
        </w:rPr>
        <w:t xml:space="preserve"> </w:t>
      </w:r>
    </w:p>
    <w:p w14:paraId="330E0EA5" w14:textId="4AE87C4F" w:rsidR="00392D27" w:rsidRDefault="00C438A6" w:rsidP="00392D27">
      <w:pPr>
        <w:spacing w:after="0" w:line="240" w:lineRule="auto"/>
        <w:ind w:left="567" w:hanging="567"/>
        <w:rPr>
          <w:rFonts w:asciiTheme="majorHAnsi" w:hAnsiTheme="majorHAnsi" w:cstheme="majorBidi"/>
          <w:color w:val="002060"/>
          <w:sz w:val="23"/>
          <w:szCs w:val="23"/>
        </w:rPr>
      </w:pPr>
      <w:r w:rsidRPr="007C7D40">
        <w:rPr>
          <w:rFonts w:asciiTheme="majorHAnsi" w:hAnsiTheme="majorHAnsi" w:cstheme="majorBidi"/>
          <w:color w:val="002060"/>
          <w:sz w:val="23"/>
          <w:szCs w:val="23"/>
        </w:rPr>
        <w:t xml:space="preserve">For further information on </w:t>
      </w:r>
      <w:r w:rsidR="00B90CEE" w:rsidRPr="007C7D40">
        <w:rPr>
          <w:rFonts w:asciiTheme="majorHAnsi" w:hAnsiTheme="majorHAnsi" w:cstheme="majorBidi"/>
          <w:color w:val="002060"/>
          <w:sz w:val="23"/>
          <w:szCs w:val="23"/>
        </w:rPr>
        <w:t>Professional Service Firms</w:t>
      </w:r>
      <w:r w:rsidR="005054D4">
        <w:rPr>
          <w:rFonts w:asciiTheme="majorHAnsi" w:hAnsiTheme="majorHAnsi" w:cstheme="majorBidi"/>
          <w:color w:val="002060"/>
          <w:sz w:val="23"/>
          <w:szCs w:val="23"/>
        </w:rPr>
        <w:t xml:space="preserve"> at Oxford</w:t>
      </w:r>
      <w:r w:rsidRPr="007C7D40">
        <w:rPr>
          <w:rFonts w:asciiTheme="majorHAnsi" w:hAnsiTheme="majorHAnsi" w:cstheme="majorBidi"/>
          <w:color w:val="002060"/>
          <w:sz w:val="23"/>
          <w:szCs w:val="23"/>
        </w:rPr>
        <w:t>,</w:t>
      </w:r>
      <w:r w:rsidR="005054D4">
        <w:rPr>
          <w:rFonts w:asciiTheme="majorHAnsi" w:hAnsiTheme="majorHAnsi" w:cstheme="majorBidi"/>
          <w:color w:val="002060"/>
          <w:sz w:val="23"/>
          <w:szCs w:val="23"/>
        </w:rPr>
        <w:t xml:space="preserve"> see</w:t>
      </w:r>
      <w:proofErr w:type="gramStart"/>
      <w:r w:rsidR="005054D4">
        <w:rPr>
          <w:rFonts w:asciiTheme="majorHAnsi" w:hAnsiTheme="majorHAnsi" w:cstheme="majorBidi"/>
          <w:color w:val="002060"/>
          <w:sz w:val="23"/>
          <w:szCs w:val="23"/>
        </w:rPr>
        <w:t>:</w:t>
      </w:r>
      <w:proofErr w:type="gramEnd"/>
      <w:r w:rsidR="00392D27">
        <w:rPr>
          <w:rFonts w:asciiTheme="majorHAnsi" w:hAnsiTheme="majorHAnsi" w:cstheme="majorBidi"/>
          <w:color w:val="002060"/>
          <w:sz w:val="23"/>
          <w:szCs w:val="23"/>
        </w:rPr>
        <w:br/>
      </w:r>
      <w:hyperlink r:id="rId8" w:history="1">
        <w:r w:rsidR="00392D27" w:rsidRPr="001C138C">
          <w:rPr>
            <w:rStyle w:val="Hyperlink"/>
            <w:rFonts w:asciiTheme="majorHAnsi" w:hAnsiTheme="majorHAnsi" w:cstheme="majorBidi"/>
            <w:sz w:val="23"/>
            <w:szCs w:val="23"/>
          </w:rPr>
          <w:t>https://www.sbs.ox.ac.uk/research/professional-service-firms</w:t>
        </w:r>
      </w:hyperlink>
      <w:r w:rsidR="00392D27">
        <w:rPr>
          <w:rFonts w:asciiTheme="majorHAnsi" w:hAnsiTheme="majorHAnsi" w:cstheme="majorBidi"/>
          <w:color w:val="002060"/>
          <w:sz w:val="23"/>
          <w:szCs w:val="23"/>
        </w:rPr>
        <w:t xml:space="preserve"> </w:t>
      </w:r>
    </w:p>
    <w:p w14:paraId="5E48880E" w14:textId="2DB44866" w:rsidR="006C2118" w:rsidRDefault="006C2118" w:rsidP="00040AC5">
      <w:pPr>
        <w:spacing w:after="0" w:line="240" w:lineRule="auto"/>
        <w:ind w:left="567" w:hanging="567"/>
        <w:rPr>
          <w:rFonts w:asciiTheme="majorHAnsi" w:hAnsiTheme="majorHAnsi" w:cstheme="majorBidi"/>
          <w:color w:val="002060"/>
          <w:sz w:val="23"/>
          <w:szCs w:val="23"/>
        </w:rPr>
      </w:pPr>
    </w:p>
    <w:tbl>
      <w:tblPr>
        <w:tblStyle w:val="TableGrid"/>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6"/>
        <w:gridCol w:w="3402"/>
      </w:tblGrid>
      <w:tr w:rsidR="006C2118" w:rsidRPr="00247A9C" w14:paraId="6246E873" w14:textId="77777777" w:rsidTr="00247A9C">
        <w:tc>
          <w:tcPr>
            <w:tcW w:w="6096" w:type="dxa"/>
          </w:tcPr>
          <w:p w14:paraId="3E10A0BA" w14:textId="08E54303" w:rsidR="006C2118" w:rsidRPr="00247A9C" w:rsidRDefault="006C2118" w:rsidP="002C1045">
            <w:pPr>
              <w:spacing w:line="240" w:lineRule="auto"/>
              <w:jc w:val="center"/>
              <w:rPr>
                <w:rFonts w:asciiTheme="majorHAnsi" w:eastAsiaTheme="minorEastAsia" w:hAnsiTheme="majorHAnsi" w:cs="Times New Roman"/>
                <w:b/>
                <w:bCs/>
                <w:noProof/>
                <w:color w:val="002060"/>
              </w:rPr>
            </w:pPr>
            <w:r w:rsidRPr="00247A9C">
              <w:rPr>
                <w:rFonts w:asciiTheme="majorHAnsi" w:hAnsiTheme="majorHAnsi" w:cstheme="majorBidi"/>
                <w:b/>
                <w:bCs/>
                <w:color w:val="002060"/>
              </w:rPr>
              <w:br w:type="page"/>
            </w:r>
            <w:r w:rsidRPr="00247A9C">
              <w:rPr>
                <w:rFonts w:asciiTheme="majorHAnsi" w:eastAsiaTheme="minorEastAsia" w:hAnsiTheme="majorHAnsi"/>
                <w:b/>
                <w:bCs/>
                <w:noProof/>
                <w:color w:val="002060"/>
              </w:rPr>
              <w:t>Quick facts about JPO:</w:t>
            </w:r>
          </w:p>
        </w:tc>
        <w:tc>
          <w:tcPr>
            <w:tcW w:w="3402" w:type="dxa"/>
          </w:tcPr>
          <w:p w14:paraId="1EF2C39C" w14:textId="5921CCCA" w:rsidR="006C2118" w:rsidRPr="00247A9C" w:rsidRDefault="006C2118" w:rsidP="002C1045">
            <w:pPr>
              <w:spacing w:line="240" w:lineRule="auto"/>
              <w:jc w:val="center"/>
              <w:rPr>
                <w:rFonts w:asciiTheme="majorHAnsi" w:hAnsiTheme="majorHAnsi" w:cstheme="majorBidi"/>
                <w:b/>
                <w:bCs/>
                <w:color w:val="002060"/>
              </w:rPr>
            </w:pPr>
            <w:r w:rsidRPr="00247A9C">
              <w:rPr>
                <w:rFonts w:asciiTheme="majorHAnsi" w:hAnsiTheme="majorHAnsi" w:cstheme="majorBidi"/>
                <w:b/>
                <w:bCs/>
                <w:color w:val="002060"/>
              </w:rPr>
              <w:t>Useful links</w:t>
            </w:r>
          </w:p>
        </w:tc>
      </w:tr>
      <w:tr w:rsidR="006C2118" w14:paraId="4ADC3C0B" w14:textId="77777777" w:rsidTr="00247A9C">
        <w:tc>
          <w:tcPr>
            <w:tcW w:w="6096" w:type="dxa"/>
          </w:tcPr>
          <w:p w14:paraId="4812BA14" w14:textId="3960FF03" w:rsidR="006C2118" w:rsidRPr="006C2118" w:rsidRDefault="00247A9C" w:rsidP="00247A9C">
            <w:pPr>
              <w:numPr>
                <w:ilvl w:val="0"/>
                <w:numId w:val="4"/>
              </w:numPr>
              <w:spacing w:line="240" w:lineRule="auto"/>
              <w:ind w:left="459" w:hanging="283"/>
              <w:rPr>
                <w:rFonts w:ascii="Cambria" w:eastAsia="Calibri" w:hAnsi="Cambria" w:cs="Times New Roman"/>
                <w:noProof/>
                <w:color w:val="000000"/>
              </w:rPr>
            </w:pPr>
            <w:r w:rsidRPr="00247A9C">
              <w:rPr>
                <w:rFonts w:ascii="Cambria" w:eastAsia="Calibri" w:hAnsi="Cambria" w:cs="Times New Roman"/>
                <w:i/>
                <w:iCs/>
                <w:noProof/>
                <w:color w:val="000000"/>
              </w:rPr>
              <w:t>JPO</w:t>
            </w:r>
            <w:r w:rsidR="006C2118" w:rsidRPr="006C2118">
              <w:rPr>
                <w:rFonts w:ascii="Cambria" w:eastAsia="Calibri" w:hAnsi="Cambria" w:cs="Times New Roman"/>
                <w:noProof/>
                <w:color w:val="000000"/>
              </w:rPr>
              <w:t xml:space="preserve"> has entered the ABDC </w:t>
            </w:r>
            <w:r w:rsidR="004839C4">
              <w:rPr>
                <w:rFonts w:ascii="Cambria" w:eastAsia="Calibri" w:hAnsi="Cambria" w:cs="Times New Roman"/>
                <w:noProof/>
                <w:color w:val="000000"/>
              </w:rPr>
              <w:t xml:space="preserve">journal quality </w:t>
            </w:r>
            <w:r w:rsidR="006C2118" w:rsidRPr="006C2118">
              <w:rPr>
                <w:rFonts w:ascii="Cambria" w:eastAsia="Calibri" w:hAnsi="Cambria" w:cs="Times New Roman"/>
                <w:noProof/>
                <w:color w:val="000000"/>
              </w:rPr>
              <w:t>list at level A.</w:t>
            </w:r>
          </w:p>
          <w:p w14:paraId="11797B41" w14:textId="77777777" w:rsidR="006C2118" w:rsidRPr="006C2118" w:rsidRDefault="006C2118" w:rsidP="006C2118">
            <w:pPr>
              <w:numPr>
                <w:ilvl w:val="0"/>
                <w:numId w:val="4"/>
              </w:numPr>
              <w:spacing w:line="240" w:lineRule="auto"/>
              <w:ind w:left="459" w:hanging="283"/>
              <w:rPr>
                <w:rFonts w:ascii="Cambria" w:eastAsia="Calibri" w:hAnsi="Cambria" w:cs="Times New Roman"/>
                <w:noProof/>
              </w:rPr>
            </w:pPr>
            <w:r w:rsidRPr="00247A9C">
              <w:rPr>
                <w:rFonts w:ascii="Cambria" w:eastAsia="Calibri" w:hAnsi="Cambria" w:cs="Times New Roman"/>
                <w:i/>
                <w:iCs/>
                <w:noProof/>
              </w:rPr>
              <w:t>JPO</w:t>
            </w:r>
            <w:r w:rsidRPr="006C2118">
              <w:rPr>
                <w:rFonts w:ascii="Cambria" w:eastAsia="Calibri" w:hAnsi="Cambria" w:cs="Times New Roman"/>
                <w:noProof/>
              </w:rPr>
              <w:t xml:space="preserve"> is now listed in the Thomson Reuters Emerging Sources Citation Index (ESCI) pending completion of our SSCI evaluation process.</w:t>
            </w:r>
          </w:p>
          <w:p w14:paraId="55506722" w14:textId="551AECBF" w:rsidR="006C2118" w:rsidRPr="006C2118" w:rsidRDefault="00247A9C" w:rsidP="006C2118">
            <w:pPr>
              <w:numPr>
                <w:ilvl w:val="0"/>
                <w:numId w:val="4"/>
              </w:numPr>
              <w:spacing w:line="240" w:lineRule="auto"/>
              <w:ind w:left="459" w:hanging="283"/>
              <w:rPr>
                <w:rFonts w:ascii="Times New Roman" w:eastAsia="Calibri" w:hAnsi="Times New Roman" w:cs="Times New Roman"/>
                <w:noProof/>
                <w:sz w:val="24"/>
                <w:szCs w:val="24"/>
              </w:rPr>
            </w:pPr>
            <w:r w:rsidRPr="00247A9C">
              <w:rPr>
                <w:rFonts w:ascii="Cambria" w:eastAsia="Calibri" w:hAnsi="Cambria" w:cs="Times New Roman"/>
                <w:i/>
                <w:iCs/>
                <w:noProof/>
              </w:rPr>
              <w:t>JPO</w:t>
            </w:r>
            <w:r>
              <w:rPr>
                <w:rFonts w:ascii="Cambria" w:eastAsia="Calibri" w:hAnsi="Cambria" w:cs="Times New Roman"/>
                <w:noProof/>
              </w:rPr>
              <w:t xml:space="preserve"> promises</w:t>
            </w:r>
            <w:r w:rsidR="006C2118" w:rsidRPr="006C2118">
              <w:rPr>
                <w:rFonts w:ascii="Cambria" w:eastAsia="Calibri" w:hAnsi="Cambria" w:cs="Times New Roman"/>
                <w:noProof/>
              </w:rPr>
              <w:t xml:space="preserve"> a high quality, constructive, and </w:t>
            </w:r>
            <w:r w:rsidR="006C2118" w:rsidRPr="00247A9C">
              <w:rPr>
                <w:rFonts w:ascii="Cambria" w:eastAsia="Calibri" w:hAnsi="Cambria" w:cs="Times New Roman"/>
                <w:noProof/>
                <w:u w:val="single"/>
              </w:rPr>
              <w:t>fast</w:t>
            </w:r>
            <w:r w:rsidR="006C2118" w:rsidRPr="006C2118">
              <w:rPr>
                <w:rFonts w:ascii="Cambria" w:eastAsia="Calibri" w:hAnsi="Cambria" w:cs="Times New Roman"/>
                <w:noProof/>
              </w:rPr>
              <w:t xml:space="preserve"> review process </w:t>
            </w:r>
            <w:r w:rsidR="00C76EF5">
              <w:rPr>
                <w:rFonts w:ascii="Cambria" w:eastAsia="Calibri" w:hAnsi="Cambria" w:cs="Times New Roman"/>
                <w:noProof/>
              </w:rPr>
              <w:t>(average time to first letter 26 days; 41</w:t>
            </w:r>
            <w:r w:rsidR="006C2118" w:rsidRPr="006C2118">
              <w:rPr>
                <w:rFonts w:ascii="Cambria" w:eastAsia="Calibri" w:hAnsi="Cambria" w:cs="Times New Roman"/>
                <w:noProof/>
              </w:rPr>
              <w:t xml:space="preserve"> days excluding desk decisions).</w:t>
            </w:r>
          </w:p>
        </w:tc>
        <w:tc>
          <w:tcPr>
            <w:tcW w:w="3402" w:type="dxa"/>
          </w:tcPr>
          <w:p w14:paraId="151F92D8" w14:textId="77777777" w:rsidR="00C76EF5" w:rsidRDefault="006C2118" w:rsidP="00C76EF5">
            <w:pPr>
              <w:numPr>
                <w:ilvl w:val="0"/>
                <w:numId w:val="4"/>
              </w:numPr>
              <w:spacing w:line="240" w:lineRule="auto"/>
              <w:ind w:left="459" w:hanging="284"/>
              <w:rPr>
                <w:rFonts w:ascii="Cambria" w:hAnsi="Cambria" w:cstheme="majorBidi"/>
              </w:rPr>
            </w:pPr>
            <w:r w:rsidRPr="00247A9C">
              <w:rPr>
                <w:rFonts w:ascii="Cambria" w:eastAsia="Calibri" w:hAnsi="Cambria" w:cs="Times New Roman"/>
                <w:i/>
                <w:iCs/>
                <w:noProof/>
              </w:rPr>
              <w:t>JPO</w:t>
            </w:r>
            <w:r w:rsidRPr="006C2118">
              <w:rPr>
                <w:rFonts w:ascii="Cambria" w:eastAsia="Calibri" w:hAnsi="Cambria" w:cs="Times New Roman"/>
                <w:noProof/>
              </w:rPr>
              <w:t>’s new “</w:t>
            </w:r>
            <w:hyperlink r:id="rId9" w:history="1">
              <w:r w:rsidRPr="006C2118">
                <w:rPr>
                  <w:rStyle w:val="Hyperlink"/>
                  <w:rFonts w:ascii="Cambria" w:eastAsia="Calibri" w:hAnsi="Cambria" w:cs="Times New Roman"/>
                  <w:noProof/>
                </w:rPr>
                <w:t>Editors’ Highlights</w:t>
              </w:r>
            </w:hyperlink>
            <w:r w:rsidRPr="006C2118">
              <w:rPr>
                <w:rFonts w:ascii="Cambria" w:eastAsia="Calibri" w:hAnsi="Cambria" w:cs="Times New Roman"/>
                <w:noProof/>
              </w:rPr>
              <w:t xml:space="preserve">” </w:t>
            </w:r>
          </w:p>
          <w:p w14:paraId="537E7457" w14:textId="434F8C3A" w:rsidR="00C76EF5" w:rsidRPr="00C76EF5" w:rsidRDefault="00C76EF5" w:rsidP="00C76EF5">
            <w:pPr>
              <w:numPr>
                <w:ilvl w:val="0"/>
                <w:numId w:val="4"/>
              </w:numPr>
              <w:spacing w:line="240" w:lineRule="auto"/>
              <w:ind w:left="459" w:hanging="284"/>
              <w:rPr>
                <w:rFonts w:ascii="Cambria" w:hAnsi="Cambria" w:cstheme="majorBidi"/>
              </w:rPr>
            </w:pPr>
            <w:r w:rsidRPr="00C76EF5">
              <w:rPr>
                <w:rFonts w:ascii="Times New Roman" w:eastAsia="Calibri" w:hAnsi="Times New Roman" w:cs="Times New Roman"/>
                <w:noProof/>
                <w:sz w:val="24"/>
                <w:szCs w:val="24"/>
              </w:rPr>
              <w:t xml:space="preserve">List of all accepted </w:t>
            </w:r>
            <w:hyperlink r:id="rId10" w:history="1">
              <w:r w:rsidRPr="00C76EF5">
                <w:rPr>
                  <w:rStyle w:val="Hyperlink"/>
                  <w:rFonts w:ascii="Times New Roman" w:eastAsia="Calibri" w:hAnsi="Times New Roman" w:cs="Times New Roman"/>
                  <w:noProof/>
                  <w:sz w:val="24"/>
                  <w:szCs w:val="24"/>
                </w:rPr>
                <w:t>JPO article with links</w:t>
              </w:r>
            </w:hyperlink>
          </w:p>
          <w:p w14:paraId="6D0BC3A4" w14:textId="77777777" w:rsidR="006C2118" w:rsidRPr="006C2118" w:rsidRDefault="006C2118" w:rsidP="006C2118">
            <w:pPr>
              <w:numPr>
                <w:ilvl w:val="0"/>
                <w:numId w:val="4"/>
              </w:numPr>
              <w:spacing w:line="240" w:lineRule="auto"/>
              <w:ind w:left="459" w:hanging="284"/>
              <w:rPr>
                <w:rFonts w:ascii="Cambria" w:hAnsi="Cambria" w:cstheme="majorBidi"/>
              </w:rPr>
            </w:pPr>
            <w:r w:rsidRPr="006C2118">
              <w:rPr>
                <w:rFonts w:ascii="Cambria" w:eastAsia="Calibri" w:hAnsi="Cambria" w:cs="Times New Roman"/>
                <w:noProof/>
              </w:rPr>
              <w:t xml:space="preserve">We welcome your </w:t>
            </w:r>
            <w:hyperlink r:id="rId11" w:history="1">
              <w:r w:rsidRPr="006C2118">
                <w:rPr>
                  <w:rStyle w:val="Hyperlink"/>
                  <w:rFonts w:ascii="Cambria" w:eastAsia="Calibri" w:hAnsi="Cambria" w:cs="Times New Roman"/>
                  <w:noProof/>
                </w:rPr>
                <w:t>submissions</w:t>
              </w:r>
            </w:hyperlink>
            <w:r w:rsidRPr="006C2118">
              <w:rPr>
                <w:rFonts w:ascii="Cambria" w:eastAsia="Calibri" w:hAnsi="Cambria" w:cs="Times New Roman"/>
                <w:noProof/>
              </w:rPr>
              <w:t xml:space="preserve"> </w:t>
            </w:r>
          </w:p>
          <w:p w14:paraId="089157A6" w14:textId="3B9E987D" w:rsidR="006C2118" w:rsidRPr="00E0108E" w:rsidRDefault="00247A9C" w:rsidP="00E0108E">
            <w:pPr>
              <w:numPr>
                <w:ilvl w:val="0"/>
                <w:numId w:val="4"/>
              </w:numPr>
              <w:spacing w:line="240" w:lineRule="auto"/>
              <w:ind w:left="459" w:hanging="284"/>
              <w:rPr>
                <w:rFonts w:ascii="Cambria" w:hAnsi="Cambria" w:cstheme="majorBidi"/>
              </w:rPr>
            </w:pPr>
            <w:r w:rsidRPr="00247A9C">
              <w:rPr>
                <w:rFonts w:ascii="Cambria" w:hAnsi="Cambria"/>
                <w:lang w:val="en"/>
              </w:rPr>
              <w:t>Fu</w:t>
            </w:r>
            <w:r w:rsidR="006C2118" w:rsidRPr="00247A9C">
              <w:rPr>
                <w:rFonts w:ascii="Cambria" w:hAnsi="Cambria"/>
                <w:lang w:val="en"/>
              </w:rPr>
              <w:t>rther details on</w:t>
            </w:r>
            <w:r w:rsidR="006C2118" w:rsidRPr="00247A9C">
              <w:rPr>
                <w:rFonts w:ascii="Cambria" w:hAnsi="Cambria"/>
                <w:i/>
                <w:iCs/>
                <w:lang w:val="en"/>
              </w:rPr>
              <w:t xml:space="preserve"> </w:t>
            </w:r>
            <w:hyperlink r:id="rId12" w:history="1">
              <w:r w:rsidR="006C2118" w:rsidRPr="00247A9C">
                <w:rPr>
                  <w:rStyle w:val="Hyperlink"/>
                  <w:rFonts w:ascii="Cambria" w:hAnsi="Cambria"/>
                  <w:i/>
                  <w:iCs/>
                  <w:lang w:val="en"/>
                </w:rPr>
                <w:t>JPO</w:t>
              </w:r>
            </w:hyperlink>
            <w:bookmarkStart w:id="0" w:name="_GoBack"/>
            <w:bookmarkEnd w:id="0"/>
          </w:p>
        </w:tc>
      </w:tr>
    </w:tbl>
    <w:p w14:paraId="74FF8338" w14:textId="439A5371" w:rsidR="00040AC5" w:rsidRPr="00967DEA" w:rsidRDefault="00040AC5" w:rsidP="00E0108E">
      <w:pPr>
        <w:spacing w:after="0" w:line="240" w:lineRule="auto"/>
        <w:rPr>
          <w:rFonts w:asciiTheme="majorHAnsi" w:hAnsiTheme="majorHAnsi" w:cstheme="majorBidi"/>
          <w:color w:val="002060"/>
          <w:sz w:val="23"/>
          <w:szCs w:val="23"/>
        </w:rPr>
      </w:pPr>
    </w:p>
    <w:sectPr w:rsidR="00040AC5" w:rsidRPr="00967DEA" w:rsidSect="00040AC5">
      <w:pgSz w:w="11907" w:h="16840" w:code="9"/>
      <w:pgMar w:top="1134" w:right="1230" w:bottom="1247"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238F"/>
    <w:multiLevelType w:val="multilevel"/>
    <w:tmpl w:val="C256F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030B96"/>
    <w:multiLevelType w:val="hybridMultilevel"/>
    <w:tmpl w:val="4A90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397C75"/>
    <w:multiLevelType w:val="hybridMultilevel"/>
    <w:tmpl w:val="F2E60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62"/>
    <w:rsid w:val="00040AC5"/>
    <w:rsid w:val="00055707"/>
    <w:rsid w:val="00063363"/>
    <w:rsid w:val="001220D4"/>
    <w:rsid w:val="00124CF2"/>
    <w:rsid w:val="00167E91"/>
    <w:rsid w:val="001961F8"/>
    <w:rsid w:val="001A3F77"/>
    <w:rsid w:val="001B28BB"/>
    <w:rsid w:val="001E1241"/>
    <w:rsid w:val="0020652C"/>
    <w:rsid w:val="00247A9C"/>
    <w:rsid w:val="002526CF"/>
    <w:rsid w:val="002B512A"/>
    <w:rsid w:val="002C1045"/>
    <w:rsid w:val="002E2B52"/>
    <w:rsid w:val="0037098F"/>
    <w:rsid w:val="00392D27"/>
    <w:rsid w:val="003D7192"/>
    <w:rsid w:val="00431F45"/>
    <w:rsid w:val="00461484"/>
    <w:rsid w:val="00474B33"/>
    <w:rsid w:val="004839C4"/>
    <w:rsid w:val="004E1941"/>
    <w:rsid w:val="005054D4"/>
    <w:rsid w:val="00561E64"/>
    <w:rsid w:val="00586182"/>
    <w:rsid w:val="00594937"/>
    <w:rsid w:val="005C3E42"/>
    <w:rsid w:val="005F18A8"/>
    <w:rsid w:val="006C2118"/>
    <w:rsid w:val="006C2FCB"/>
    <w:rsid w:val="00764A3F"/>
    <w:rsid w:val="007C7D40"/>
    <w:rsid w:val="007E683C"/>
    <w:rsid w:val="00840A0D"/>
    <w:rsid w:val="008876AD"/>
    <w:rsid w:val="008C1D37"/>
    <w:rsid w:val="008E5A5D"/>
    <w:rsid w:val="0091340F"/>
    <w:rsid w:val="00960F30"/>
    <w:rsid w:val="00967DEA"/>
    <w:rsid w:val="00A024D7"/>
    <w:rsid w:val="00A43822"/>
    <w:rsid w:val="00A63162"/>
    <w:rsid w:val="00A92F62"/>
    <w:rsid w:val="00B0322B"/>
    <w:rsid w:val="00B52A04"/>
    <w:rsid w:val="00B67514"/>
    <w:rsid w:val="00B677E1"/>
    <w:rsid w:val="00B90CEE"/>
    <w:rsid w:val="00BD5FE1"/>
    <w:rsid w:val="00C03FA9"/>
    <w:rsid w:val="00C438A6"/>
    <w:rsid w:val="00C76EF5"/>
    <w:rsid w:val="00C84455"/>
    <w:rsid w:val="00C901AA"/>
    <w:rsid w:val="00C95820"/>
    <w:rsid w:val="00CA54F1"/>
    <w:rsid w:val="00CE19A6"/>
    <w:rsid w:val="00D27F18"/>
    <w:rsid w:val="00D426EF"/>
    <w:rsid w:val="00D43ADB"/>
    <w:rsid w:val="00D708B9"/>
    <w:rsid w:val="00D773A5"/>
    <w:rsid w:val="00DC188A"/>
    <w:rsid w:val="00E0108E"/>
    <w:rsid w:val="00E03551"/>
    <w:rsid w:val="00E61E36"/>
    <w:rsid w:val="00F35082"/>
    <w:rsid w:val="00FA5F87"/>
    <w:rsid w:val="00FE23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DE849"/>
  <w15:docId w15:val="{657AF45F-753D-41D3-AC6F-9D4C0820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3F"/>
    <w:pPr>
      <w:spacing w:line="24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162"/>
  </w:style>
  <w:style w:type="character" w:customStyle="1" w:styleId="link-external">
    <w:name w:val="link-external"/>
    <w:basedOn w:val="DefaultParagraphFont"/>
    <w:rsid w:val="00A63162"/>
  </w:style>
  <w:style w:type="character" w:styleId="Hyperlink">
    <w:name w:val="Hyperlink"/>
    <w:basedOn w:val="DefaultParagraphFont"/>
    <w:uiPriority w:val="99"/>
    <w:unhideWhenUsed/>
    <w:rsid w:val="00A63162"/>
    <w:rPr>
      <w:color w:val="0000FF"/>
      <w:u w:val="single"/>
    </w:rPr>
  </w:style>
  <w:style w:type="paragraph" w:styleId="BalloonText">
    <w:name w:val="Balloon Text"/>
    <w:basedOn w:val="Normal"/>
    <w:link w:val="BalloonTextChar"/>
    <w:uiPriority w:val="99"/>
    <w:semiHidden/>
    <w:unhideWhenUsed/>
    <w:rsid w:val="00122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D4"/>
    <w:rPr>
      <w:rFonts w:ascii="Tahoma" w:hAnsi="Tahoma" w:cs="Tahoma"/>
      <w:sz w:val="16"/>
      <w:szCs w:val="16"/>
    </w:rPr>
  </w:style>
  <w:style w:type="paragraph" w:styleId="ListParagraph">
    <w:name w:val="List Paragraph"/>
    <w:basedOn w:val="Normal"/>
    <w:uiPriority w:val="34"/>
    <w:qFormat/>
    <w:rsid w:val="00586182"/>
    <w:pPr>
      <w:spacing w:after="0" w:line="240" w:lineRule="auto"/>
      <w:ind w:left="720"/>
    </w:pPr>
    <w:rPr>
      <w:rFonts w:ascii="Calibri" w:hAnsi="Calibri" w:cs="Times New Roman"/>
    </w:rPr>
  </w:style>
  <w:style w:type="paragraph" w:styleId="NormalWeb">
    <w:name w:val="Normal (Web)"/>
    <w:basedOn w:val="Normal"/>
    <w:uiPriority w:val="99"/>
    <w:semiHidden/>
    <w:unhideWhenUsed/>
    <w:rsid w:val="002526C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3822"/>
    <w:rPr>
      <w:color w:val="800080" w:themeColor="followedHyperlink"/>
      <w:u w:val="single"/>
    </w:rPr>
  </w:style>
  <w:style w:type="table" w:styleId="TableGrid">
    <w:name w:val="Table Grid"/>
    <w:basedOn w:val="TableNormal"/>
    <w:uiPriority w:val="59"/>
    <w:rsid w:val="006C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432">
      <w:bodyDiv w:val="1"/>
      <w:marLeft w:val="0"/>
      <w:marRight w:val="0"/>
      <w:marTop w:val="0"/>
      <w:marBottom w:val="0"/>
      <w:divBdr>
        <w:top w:val="none" w:sz="0" w:space="0" w:color="auto"/>
        <w:left w:val="none" w:sz="0" w:space="0" w:color="auto"/>
        <w:bottom w:val="none" w:sz="0" w:space="0" w:color="auto"/>
        <w:right w:val="none" w:sz="0" w:space="0" w:color="auto"/>
      </w:divBdr>
    </w:div>
    <w:div w:id="1295713042">
      <w:bodyDiv w:val="1"/>
      <w:marLeft w:val="0"/>
      <w:marRight w:val="0"/>
      <w:marTop w:val="0"/>
      <w:marBottom w:val="0"/>
      <w:divBdr>
        <w:top w:val="none" w:sz="0" w:space="0" w:color="auto"/>
        <w:left w:val="none" w:sz="0" w:space="0" w:color="auto"/>
        <w:bottom w:val="none" w:sz="0" w:space="0" w:color="auto"/>
        <w:right w:val="none" w:sz="0" w:space="0" w:color="auto"/>
      </w:divBdr>
    </w:div>
    <w:div w:id="20108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s.ox.ac.uk/research/professional-service-fi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oup.com/jpo/pages/best-paper-award" TargetMode="External"/><Relationship Id="rId12" Type="http://schemas.openxmlformats.org/officeDocument/2006/relationships/hyperlink" Target="http://jpo.oxfordjourn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mc.manuscriptcentral.com/jpo" TargetMode="External"/><Relationship Id="rId5" Type="http://schemas.openxmlformats.org/officeDocument/2006/relationships/image" Target="media/image1.wmf"/><Relationship Id="rId10" Type="http://schemas.openxmlformats.org/officeDocument/2006/relationships/hyperlink" Target="https://academic.oup.com/jpo/pages/papers_online_list" TargetMode="External"/><Relationship Id="rId4" Type="http://schemas.openxmlformats.org/officeDocument/2006/relationships/webSettings" Target="webSettings.xml"/><Relationship Id="rId9" Type="http://schemas.openxmlformats.org/officeDocument/2006/relationships/hyperlink" Target="http://oxfordjournals.org/our_journals/jpo/editors_highligh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Ben-Gurion University of the Negev</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Brock</dc:creator>
  <cp:lastModifiedBy>xxx</cp:lastModifiedBy>
  <cp:revision>9</cp:revision>
  <cp:lastPrinted>2013-10-23T08:20:00Z</cp:lastPrinted>
  <dcterms:created xsi:type="dcterms:W3CDTF">2019-11-14T08:27:00Z</dcterms:created>
  <dcterms:modified xsi:type="dcterms:W3CDTF">2019-11-18T11:08:00Z</dcterms:modified>
</cp:coreProperties>
</file>