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7619" w14:textId="62AFE1CC" w:rsidR="003127EB" w:rsidRDefault="00BB2777" w:rsidP="00BB2777">
      <w:pPr>
        <w:spacing w:line="240" w:lineRule="auto"/>
        <w:contextualSpacing/>
        <w:jc w:val="center"/>
        <w:rPr>
          <w:b/>
          <w:bCs/>
        </w:rPr>
      </w:pPr>
      <w:r>
        <w:rPr>
          <w:b/>
          <w:bCs/>
        </w:rPr>
        <w:t>2</w:t>
      </w:r>
      <w:r w:rsidR="00FD2DAD">
        <w:rPr>
          <w:b/>
          <w:bCs/>
        </w:rPr>
        <w:t>023</w:t>
      </w:r>
      <w:r w:rsidR="00FD2DAD" w:rsidRPr="00361F02">
        <w:rPr>
          <w:b/>
          <w:bCs/>
        </w:rPr>
        <w:t xml:space="preserve"> M</w:t>
      </w:r>
      <w:r w:rsidR="003127EB">
        <w:rPr>
          <w:b/>
          <w:bCs/>
        </w:rPr>
        <w:t xml:space="preserve">anagement </w:t>
      </w:r>
      <w:r w:rsidR="00FD2DAD" w:rsidRPr="00361F02">
        <w:rPr>
          <w:b/>
          <w:bCs/>
        </w:rPr>
        <w:t>C</w:t>
      </w:r>
      <w:r w:rsidR="003127EB">
        <w:rPr>
          <w:b/>
          <w:bCs/>
        </w:rPr>
        <w:t>onsulting</w:t>
      </w:r>
      <w:r w:rsidR="00FD2DAD" w:rsidRPr="00361F02">
        <w:rPr>
          <w:b/>
          <w:bCs/>
        </w:rPr>
        <w:t xml:space="preserve"> Division </w:t>
      </w:r>
      <w:r w:rsidR="00FD2DAD">
        <w:rPr>
          <w:b/>
          <w:bCs/>
        </w:rPr>
        <w:t>Program</w:t>
      </w:r>
    </w:p>
    <w:p w14:paraId="17699895" w14:textId="41ED9019" w:rsidR="00FD2DAD" w:rsidRDefault="00FD2DAD" w:rsidP="00C27C85">
      <w:pPr>
        <w:spacing w:line="240" w:lineRule="auto"/>
        <w:contextualSpacing/>
        <w:jc w:val="center"/>
        <w:rPr>
          <w:b/>
          <w:bCs/>
        </w:rPr>
      </w:pPr>
      <w:r w:rsidRPr="00361F02">
        <w:rPr>
          <w:b/>
          <w:bCs/>
        </w:rPr>
        <w:t>Call for Proposals</w:t>
      </w:r>
    </w:p>
    <w:p w14:paraId="54159BC7" w14:textId="77777777" w:rsidR="002729FF" w:rsidRPr="00361F02" w:rsidRDefault="002729FF" w:rsidP="002729FF">
      <w:pPr>
        <w:spacing w:line="240" w:lineRule="auto"/>
        <w:contextualSpacing/>
      </w:pPr>
    </w:p>
    <w:p w14:paraId="322FDD8D" w14:textId="457942A5" w:rsidR="00A9087D" w:rsidRDefault="00A9087D" w:rsidP="00C27C85">
      <w:pPr>
        <w:spacing w:line="240" w:lineRule="auto"/>
        <w:contextualSpacing/>
        <w:jc w:val="center"/>
        <w:rPr>
          <w:b/>
          <w:bCs/>
        </w:rPr>
      </w:pPr>
      <w:r>
        <w:rPr>
          <w:b/>
          <w:bCs/>
        </w:rPr>
        <w:t>83</w:t>
      </w:r>
      <w:r w:rsidRPr="00A9087D">
        <w:rPr>
          <w:b/>
          <w:bCs/>
          <w:vertAlign w:val="superscript"/>
        </w:rPr>
        <w:t>rd</w:t>
      </w:r>
      <w:r>
        <w:rPr>
          <w:b/>
          <w:bCs/>
        </w:rPr>
        <w:t xml:space="preserve"> Annual Meeting of the Academy of Management</w:t>
      </w:r>
    </w:p>
    <w:p w14:paraId="69340A51" w14:textId="26021E3B" w:rsidR="00A9087D" w:rsidRDefault="00A9087D" w:rsidP="00C27C85">
      <w:pPr>
        <w:spacing w:line="240" w:lineRule="auto"/>
        <w:contextualSpacing/>
        <w:jc w:val="center"/>
        <w:rPr>
          <w:b/>
          <w:bCs/>
        </w:rPr>
      </w:pPr>
      <w:r>
        <w:rPr>
          <w:b/>
          <w:bCs/>
        </w:rPr>
        <w:t>Where: Boston, Massachusetts, USA</w:t>
      </w:r>
    </w:p>
    <w:p w14:paraId="349F5ADE" w14:textId="66C5BB21" w:rsidR="00A9087D" w:rsidRDefault="00A9087D" w:rsidP="00C27C85">
      <w:pPr>
        <w:spacing w:line="240" w:lineRule="auto"/>
        <w:contextualSpacing/>
        <w:jc w:val="center"/>
        <w:rPr>
          <w:b/>
          <w:bCs/>
        </w:rPr>
      </w:pPr>
      <w:r>
        <w:rPr>
          <w:b/>
          <w:bCs/>
        </w:rPr>
        <w:t>Date: 4-8 August 2023</w:t>
      </w:r>
    </w:p>
    <w:p w14:paraId="4AA8C17F" w14:textId="4713FD2D" w:rsidR="008A33D8" w:rsidRDefault="008A33D8" w:rsidP="002729FF">
      <w:pPr>
        <w:spacing w:line="240" w:lineRule="auto"/>
        <w:contextualSpacing/>
        <w:rPr>
          <w:b/>
          <w:bCs/>
        </w:rPr>
      </w:pPr>
    </w:p>
    <w:p w14:paraId="6302B976" w14:textId="19969EEC" w:rsidR="00FD2DAD" w:rsidRDefault="00C27C85" w:rsidP="00C27C85">
      <w:pPr>
        <w:spacing w:line="240" w:lineRule="auto"/>
        <w:contextualSpacing/>
        <w:jc w:val="center"/>
      </w:pPr>
      <w:r>
        <w:rPr>
          <w:b/>
          <w:bCs/>
        </w:rPr>
        <w:t xml:space="preserve">Management Consulting Division (MCD) </w:t>
      </w:r>
      <w:r w:rsidR="00FD2DAD">
        <w:rPr>
          <w:b/>
          <w:bCs/>
        </w:rPr>
        <w:t>Program</w:t>
      </w:r>
      <w:r w:rsidR="00FD2DAD" w:rsidRPr="00361F02">
        <w:rPr>
          <w:b/>
          <w:bCs/>
        </w:rPr>
        <w:t xml:space="preserve"> Chair:</w:t>
      </w:r>
      <w:r w:rsidR="00FD2DAD" w:rsidRPr="00361F02">
        <w:t> </w:t>
      </w:r>
      <w:r w:rsidR="00FD2DAD">
        <w:t xml:space="preserve">Shola Ajiboye, </w:t>
      </w:r>
      <w:hyperlink r:id="rId7" w:history="1">
        <w:r w:rsidR="00FC4D65" w:rsidRPr="0031778A">
          <w:rPr>
            <w:rStyle w:val="Hyperlink"/>
          </w:rPr>
          <w:t>sxa505@case.edu</w:t>
        </w:r>
      </w:hyperlink>
    </w:p>
    <w:p w14:paraId="45D9A6E6" w14:textId="280D7134" w:rsidR="00FD2DAD" w:rsidRDefault="00FD2DAD" w:rsidP="00FD2DAD">
      <w:pPr>
        <w:spacing w:line="240" w:lineRule="auto"/>
        <w:contextualSpacing/>
      </w:pPr>
    </w:p>
    <w:p w14:paraId="26BC999B" w14:textId="0608A9A7" w:rsidR="00FD2DAD" w:rsidRPr="00FD2DAD" w:rsidRDefault="003127EB" w:rsidP="00C27C85">
      <w:pPr>
        <w:spacing w:line="240" w:lineRule="auto"/>
        <w:contextualSpacing/>
        <w:jc w:val="center"/>
        <w:rPr>
          <w:b/>
          <w:bCs/>
        </w:rPr>
      </w:pPr>
      <w:r>
        <w:rPr>
          <w:b/>
          <w:bCs/>
        </w:rPr>
        <w:t>About MCD</w:t>
      </w:r>
      <w:r w:rsidR="00FD2DAD" w:rsidRPr="00FD2DAD">
        <w:rPr>
          <w:b/>
          <w:bCs/>
        </w:rPr>
        <w:t>:</w:t>
      </w:r>
    </w:p>
    <w:p w14:paraId="2713DE21" w14:textId="77777777" w:rsidR="00FD2DAD" w:rsidRDefault="00FD2DAD" w:rsidP="00FD2DAD">
      <w:pPr>
        <w:spacing w:line="240" w:lineRule="auto"/>
        <w:contextualSpacing/>
      </w:pPr>
    </w:p>
    <w:p w14:paraId="233EE498" w14:textId="6DD18053" w:rsidR="0073277C" w:rsidRPr="00C27C85" w:rsidRDefault="00FD2DAD" w:rsidP="00C27C85">
      <w:pPr>
        <w:spacing w:line="240" w:lineRule="auto"/>
        <w:contextualSpacing/>
        <w:jc w:val="both"/>
        <w:rPr>
          <w:sz w:val="22"/>
          <w:szCs w:val="22"/>
        </w:rPr>
      </w:pPr>
      <w:r w:rsidRPr="00C27C85">
        <w:rPr>
          <w:sz w:val="22"/>
          <w:szCs w:val="22"/>
        </w:rPr>
        <w:t xml:space="preserve">The Management Consulting Division (MCD) is a division of the Academy of Management. The </w:t>
      </w:r>
      <w:r w:rsidRPr="00C27C85">
        <w:rPr>
          <w:b/>
          <w:bCs/>
          <w:sz w:val="22"/>
          <w:szCs w:val="22"/>
        </w:rPr>
        <w:t>membership</w:t>
      </w:r>
      <w:r w:rsidRPr="00C27C85">
        <w:rPr>
          <w:sz w:val="22"/>
          <w:szCs w:val="22"/>
        </w:rPr>
        <w:t xml:space="preserve"> of MCD comprises scholar-practitioners in public and private sectors, including higher educational institutions spread around the world. The </w:t>
      </w:r>
      <w:r w:rsidRPr="00C27C85">
        <w:rPr>
          <w:b/>
          <w:bCs/>
          <w:sz w:val="22"/>
          <w:szCs w:val="22"/>
        </w:rPr>
        <w:t>mission</w:t>
      </w:r>
      <w:r w:rsidRPr="00C27C85">
        <w:rPr>
          <w:sz w:val="22"/>
          <w:szCs w:val="22"/>
        </w:rPr>
        <w:t xml:space="preserve"> of the MCD is </w:t>
      </w:r>
      <w:r w:rsidR="00577250" w:rsidRPr="00C27C85">
        <w:rPr>
          <w:sz w:val="22"/>
          <w:szCs w:val="22"/>
        </w:rPr>
        <w:t xml:space="preserve">to bridge the gap between theory and practice in all areas of management through a pluralistic approach to understanding and applying management knowledge. </w:t>
      </w:r>
      <w:r w:rsidR="0073277C" w:rsidRPr="00C27C85">
        <w:rPr>
          <w:sz w:val="22"/>
          <w:szCs w:val="22"/>
        </w:rPr>
        <w:t xml:space="preserve">The </w:t>
      </w:r>
      <w:r w:rsidR="0073277C" w:rsidRPr="00C27C85">
        <w:rPr>
          <w:b/>
          <w:bCs/>
          <w:sz w:val="22"/>
          <w:szCs w:val="22"/>
        </w:rPr>
        <w:t>purpose</w:t>
      </w:r>
      <w:r w:rsidR="0073277C" w:rsidRPr="00C27C85">
        <w:rPr>
          <w:sz w:val="22"/>
          <w:szCs w:val="22"/>
        </w:rPr>
        <w:t xml:space="preserve"> of the </w:t>
      </w:r>
      <w:r w:rsidRPr="00C27C85">
        <w:rPr>
          <w:sz w:val="22"/>
          <w:szCs w:val="22"/>
        </w:rPr>
        <w:t>MCD</w:t>
      </w:r>
      <w:r w:rsidR="0073277C" w:rsidRPr="00C27C85">
        <w:rPr>
          <w:sz w:val="22"/>
          <w:szCs w:val="22"/>
        </w:rPr>
        <w:t xml:space="preserve"> is to advance </w:t>
      </w:r>
      <w:r w:rsidR="00361F02" w:rsidRPr="00C27C85">
        <w:rPr>
          <w:sz w:val="22"/>
          <w:szCs w:val="22"/>
        </w:rPr>
        <w:t xml:space="preserve">the </w:t>
      </w:r>
      <w:r w:rsidR="0073277C" w:rsidRPr="00C27C85">
        <w:rPr>
          <w:sz w:val="22"/>
          <w:szCs w:val="22"/>
        </w:rPr>
        <w:t xml:space="preserve">knowledge and understanding of management consulting </w:t>
      </w:r>
      <w:r w:rsidR="00520207" w:rsidRPr="00C27C85">
        <w:rPr>
          <w:sz w:val="22"/>
          <w:szCs w:val="22"/>
        </w:rPr>
        <w:t xml:space="preserve">through teaching, research and publication, and active consulting practices. </w:t>
      </w:r>
      <w:r w:rsidR="0073277C" w:rsidRPr="00C27C85">
        <w:rPr>
          <w:sz w:val="22"/>
          <w:szCs w:val="22"/>
        </w:rPr>
        <w:t>The division</w:t>
      </w:r>
      <w:r w:rsidR="00520207" w:rsidRPr="00C27C85">
        <w:rPr>
          <w:sz w:val="22"/>
          <w:szCs w:val="22"/>
        </w:rPr>
        <w:t xml:space="preserve"> recognizes the vast disciplinary fields related to consulting, including human resources management and management </w:t>
      </w:r>
      <w:r w:rsidR="00520207" w:rsidRPr="00C27C85">
        <w:rPr>
          <w:color w:val="000000" w:themeColor="text1"/>
          <w:sz w:val="22"/>
          <w:szCs w:val="22"/>
        </w:rPr>
        <w:t xml:space="preserve">of human </w:t>
      </w:r>
      <w:r w:rsidR="009131B5" w:rsidRPr="00C27C85">
        <w:rPr>
          <w:color w:val="000000" w:themeColor="text1"/>
          <w:sz w:val="22"/>
          <w:szCs w:val="22"/>
        </w:rPr>
        <w:t>potential</w:t>
      </w:r>
      <w:r w:rsidR="00520207" w:rsidRPr="00C27C85">
        <w:rPr>
          <w:color w:val="000000" w:themeColor="text1"/>
          <w:sz w:val="22"/>
          <w:szCs w:val="22"/>
        </w:rPr>
        <w:t xml:space="preserve">, </w:t>
      </w:r>
      <w:r w:rsidR="00520207" w:rsidRPr="00C27C85">
        <w:rPr>
          <w:sz w:val="22"/>
          <w:szCs w:val="22"/>
        </w:rPr>
        <w:t>organization behavior, change management, leadership, supply chain management,</w:t>
      </w:r>
      <w:r w:rsidR="0073277C" w:rsidRPr="00C27C85">
        <w:rPr>
          <w:sz w:val="22"/>
          <w:szCs w:val="22"/>
        </w:rPr>
        <w:t xml:space="preserve"> </w:t>
      </w:r>
      <w:r w:rsidR="00520207" w:rsidRPr="00C27C85">
        <w:rPr>
          <w:sz w:val="22"/>
          <w:szCs w:val="22"/>
        </w:rPr>
        <w:t xml:space="preserve">health care management, digital transformation, financial management, project management, risk management, </w:t>
      </w:r>
      <w:r w:rsidR="00C04F90" w:rsidRPr="00C27C85">
        <w:rPr>
          <w:sz w:val="22"/>
          <w:szCs w:val="22"/>
        </w:rPr>
        <w:t>entrepreneurship, education, public policy development</w:t>
      </w:r>
      <w:r w:rsidR="007B0785" w:rsidRPr="00C27C85">
        <w:rPr>
          <w:sz w:val="22"/>
          <w:szCs w:val="22"/>
        </w:rPr>
        <w:t xml:space="preserve"> and governance</w:t>
      </w:r>
      <w:r w:rsidR="00C04F90" w:rsidRPr="00C27C85">
        <w:rPr>
          <w:sz w:val="22"/>
          <w:szCs w:val="22"/>
        </w:rPr>
        <w:t xml:space="preserve">, </w:t>
      </w:r>
      <w:r w:rsidR="00520207" w:rsidRPr="00C27C85">
        <w:rPr>
          <w:sz w:val="22"/>
          <w:szCs w:val="22"/>
        </w:rPr>
        <w:t xml:space="preserve">strategy, </w:t>
      </w:r>
      <w:r w:rsidR="007B0785" w:rsidRPr="00C27C85">
        <w:rPr>
          <w:sz w:val="22"/>
          <w:szCs w:val="22"/>
        </w:rPr>
        <w:t xml:space="preserve">philanthropy, </w:t>
      </w:r>
      <w:r w:rsidR="00520207" w:rsidRPr="00C27C85">
        <w:rPr>
          <w:sz w:val="22"/>
          <w:szCs w:val="22"/>
        </w:rPr>
        <w:t>globalization, and a host of other</w:t>
      </w:r>
      <w:r w:rsidR="001233FE" w:rsidRPr="00C27C85">
        <w:rPr>
          <w:sz w:val="22"/>
          <w:szCs w:val="22"/>
        </w:rPr>
        <w:t xml:space="preserve"> fields</w:t>
      </w:r>
      <w:r w:rsidR="00520207" w:rsidRPr="00C27C85">
        <w:rPr>
          <w:sz w:val="22"/>
          <w:szCs w:val="22"/>
        </w:rPr>
        <w:t>. The division promotes</w:t>
      </w:r>
      <w:r w:rsidR="009131B5" w:rsidRPr="00C27C85">
        <w:rPr>
          <w:sz w:val="22"/>
          <w:szCs w:val="22"/>
        </w:rPr>
        <w:t xml:space="preserve"> scholar-practitioners (the consultants,</w:t>
      </w:r>
      <w:r w:rsidR="00520207" w:rsidRPr="00C27C85">
        <w:rPr>
          <w:sz w:val="22"/>
          <w:szCs w:val="22"/>
        </w:rPr>
        <w:t xml:space="preserve"> </w:t>
      </w:r>
      <w:r w:rsidR="0073277C" w:rsidRPr="00C27C85">
        <w:rPr>
          <w:sz w:val="22"/>
          <w:szCs w:val="22"/>
        </w:rPr>
        <w:t>the discipline of consulting</w:t>
      </w:r>
      <w:r w:rsidR="00E5511A" w:rsidRPr="00C27C85">
        <w:rPr>
          <w:sz w:val="22"/>
          <w:szCs w:val="22"/>
        </w:rPr>
        <w:t>,</w:t>
      </w:r>
      <w:r w:rsidR="00520207" w:rsidRPr="00C27C85">
        <w:rPr>
          <w:sz w:val="22"/>
          <w:szCs w:val="22"/>
        </w:rPr>
        <w:t xml:space="preserve"> and </w:t>
      </w:r>
      <w:r w:rsidR="0073277C" w:rsidRPr="00C27C85">
        <w:rPr>
          <w:sz w:val="22"/>
          <w:szCs w:val="22"/>
        </w:rPr>
        <w:t xml:space="preserve">the consulting industry with </w:t>
      </w:r>
      <w:r w:rsidR="0087628D" w:rsidRPr="00C27C85">
        <w:rPr>
          <w:sz w:val="22"/>
          <w:szCs w:val="22"/>
        </w:rPr>
        <w:t>the</w:t>
      </w:r>
      <w:r w:rsidR="0073277C" w:rsidRPr="00C27C85">
        <w:rPr>
          <w:sz w:val="22"/>
          <w:szCs w:val="22"/>
        </w:rPr>
        <w:t xml:space="preserve"> underlying goal of </w:t>
      </w:r>
      <w:r w:rsidR="00A432FA" w:rsidRPr="00C27C85">
        <w:rPr>
          <w:sz w:val="22"/>
          <w:szCs w:val="22"/>
        </w:rPr>
        <w:t xml:space="preserve">elevating the intersection of </w:t>
      </w:r>
      <w:r w:rsidR="0073277C" w:rsidRPr="00C27C85">
        <w:rPr>
          <w:sz w:val="22"/>
          <w:szCs w:val="22"/>
        </w:rPr>
        <w:t xml:space="preserve">scholarship and practice. The </w:t>
      </w:r>
      <w:r w:rsidR="00520207" w:rsidRPr="00C27C85">
        <w:rPr>
          <w:sz w:val="22"/>
          <w:szCs w:val="22"/>
        </w:rPr>
        <w:t>d</w:t>
      </w:r>
      <w:r w:rsidR="0073277C" w:rsidRPr="00C27C85">
        <w:rPr>
          <w:sz w:val="22"/>
          <w:szCs w:val="22"/>
        </w:rPr>
        <w:t xml:space="preserve">ivision </w:t>
      </w:r>
      <w:r w:rsidR="00520207" w:rsidRPr="00C27C85">
        <w:rPr>
          <w:sz w:val="22"/>
          <w:szCs w:val="22"/>
        </w:rPr>
        <w:t>also</w:t>
      </w:r>
      <w:r w:rsidR="0073277C" w:rsidRPr="00C27C85">
        <w:rPr>
          <w:sz w:val="22"/>
          <w:szCs w:val="22"/>
        </w:rPr>
        <w:t xml:space="preserve"> </w:t>
      </w:r>
      <w:r w:rsidR="00520207" w:rsidRPr="00C27C85">
        <w:rPr>
          <w:sz w:val="22"/>
          <w:szCs w:val="22"/>
        </w:rPr>
        <w:t>encourages the adoption of interdisciplinary and integrative approaches to consulting for maximum benefits to consumers of consulting services and products.</w:t>
      </w:r>
    </w:p>
    <w:p w14:paraId="3A544A98" w14:textId="77777777" w:rsidR="008418CB" w:rsidRPr="00C27C85" w:rsidRDefault="008418CB" w:rsidP="00C27C85">
      <w:pPr>
        <w:spacing w:line="240" w:lineRule="auto"/>
        <w:contextualSpacing/>
        <w:rPr>
          <w:sz w:val="22"/>
          <w:szCs w:val="22"/>
        </w:rPr>
      </w:pPr>
    </w:p>
    <w:p w14:paraId="05DB0C7B" w14:textId="1ACD2715" w:rsidR="004C730D" w:rsidRDefault="00754698" w:rsidP="00C27C85">
      <w:pPr>
        <w:spacing w:line="240" w:lineRule="auto"/>
        <w:contextualSpacing/>
        <w:jc w:val="both"/>
        <w:rPr>
          <w:sz w:val="22"/>
          <w:szCs w:val="22"/>
        </w:rPr>
      </w:pPr>
      <w:r>
        <w:rPr>
          <w:sz w:val="22"/>
          <w:szCs w:val="22"/>
        </w:rPr>
        <w:t>Overall</w:t>
      </w:r>
      <w:r w:rsidRPr="00FA528B">
        <w:rPr>
          <w:sz w:val="22"/>
          <w:szCs w:val="22"/>
        </w:rPr>
        <w:t>, t</w:t>
      </w:r>
      <w:r w:rsidR="00051FC2" w:rsidRPr="00FA528B">
        <w:rPr>
          <w:sz w:val="22"/>
          <w:szCs w:val="22"/>
        </w:rPr>
        <w:t xml:space="preserve">he MCD brings </w:t>
      </w:r>
      <w:r w:rsidR="00051FC2" w:rsidRPr="00FA528B">
        <w:rPr>
          <w:b/>
          <w:bCs/>
          <w:sz w:val="22"/>
          <w:szCs w:val="22"/>
        </w:rPr>
        <w:t>experienced and emerging management consultants together</w:t>
      </w:r>
      <w:r w:rsidR="0034271D" w:rsidRPr="00FA528B">
        <w:rPr>
          <w:b/>
          <w:bCs/>
          <w:sz w:val="22"/>
          <w:szCs w:val="22"/>
        </w:rPr>
        <w:t xml:space="preserve"> as scholar-practitioners</w:t>
      </w:r>
      <w:r w:rsidR="00051FC2" w:rsidRPr="00FA528B">
        <w:rPr>
          <w:sz w:val="22"/>
          <w:szCs w:val="22"/>
        </w:rPr>
        <w:t xml:space="preserve"> to </w:t>
      </w:r>
      <w:r w:rsidR="00051FC2" w:rsidRPr="00FA528B">
        <w:rPr>
          <w:b/>
          <w:bCs/>
          <w:sz w:val="22"/>
          <w:szCs w:val="22"/>
        </w:rPr>
        <w:t>co-create, co-learn, and co-transfer knowledge</w:t>
      </w:r>
      <w:r w:rsidR="00051FC2" w:rsidRPr="00FA528B">
        <w:rPr>
          <w:sz w:val="22"/>
          <w:szCs w:val="22"/>
        </w:rPr>
        <w:t xml:space="preserve">, with appropriate tools, techniques, technologies, frameworks, and methodologies to </w:t>
      </w:r>
      <w:r w:rsidR="00051FC2" w:rsidRPr="00FA528B">
        <w:rPr>
          <w:b/>
          <w:bCs/>
          <w:sz w:val="22"/>
          <w:szCs w:val="22"/>
        </w:rPr>
        <w:t xml:space="preserve">prepare </w:t>
      </w:r>
      <w:r w:rsidR="0034271D" w:rsidRPr="00FA528B">
        <w:rPr>
          <w:b/>
          <w:bCs/>
          <w:sz w:val="22"/>
          <w:szCs w:val="22"/>
        </w:rPr>
        <w:t xml:space="preserve">our society </w:t>
      </w:r>
      <w:r w:rsidR="00051FC2" w:rsidRPr="00FA528B">
        <w:rPr>
          <w:b/>
          <w:bCs/>
          <w:sz w:val="22"/>
          <w:szCs w:val="22"/>
        </w:rPr>
        <w:t xml:space="preserve">for current and future </w:t>
      </w:r>
      <w:r w:rsidRPr="00FA528B">
        <w:rPr>
          <w:b/>
          <w:bCs/>
          <w:sz w:val="22"/>
          <w:szCs w:val="22"/>
        </w:rPr>
        <w:t>c</w:t>
      </w:r>
      <w:r w:rsidR="00051FC2" w:rsidRPr="00FA528B">
        <w:rPr>
          <w:b/>
          <w:bCs/>
          <w:sz w:val="22"/>
          <w:szCs w:val="22"/>
        </w:rPr>
        <w:t>hallenges and opportunities</w:t>
      </w:r>
      <w:r w:rsidR="00051FC2" w:rsidRPr="00FA528B">
        <w:rPr>
          <w:sz w:val="22"/>
          <w:szCs w:val="22"/>
        </w:rPr>
        <w:t>.</w:t>
      </w:r>
      <w:r w:rsidR="00051FC2" w:rsidRPr="00F50EB1">
        <w:rPr>
          <w:sz w:val="22"/>
          <w:szCs w:val="22"/>
        </w:rPr>
        <w:t xml:space="preserve"> </w:t>
      </w:r>
    </w:p>
    <w:p w14:paraId="58F9200F" w14:textId="77777777" w:rsidR="004C730D" w:rsidRDefault="004C730D" w:rsidP="00452422">
      <w:pPr>
        <w:spacing w:line="240" w:lineRule="auto"/>
        <w:contextualSpacing/>
        <w:rPr>
          <w:sz w:val="22"/>
          <w:szCs w:val="22"/>
        </w:rPr>
      </w:pPr>
    </w:p>
    <w:p w14:paraId="54E044ED" w14:textId="2734BCD2" w:rsidR="004C730D" w:rsidRPr="00003CE0" w:rsidRDefault="004C730D" w:rsidP="00B97F7F">
      <w:pPr>
        <w:spacing w:line="240" w:lineRule="auto"/>
        <w:contextualSpacing/>
        <w:jc w:val="center"/>
        <w:rPr>
          <w:b/>
          <w:i/>
          <w:iCs/>
        </w:rPr>
      </w:pPr>
      <w:r w:rsidRPr="00F15812">
        <w:rPr>
          <w:b/>
        </w:rPr>
        <w:t xml:space="preserve">AOM 2023 Theme: </w:t>
      </w:r>
      <w:r w:rsidRPr="00003CE0">
        <w:rPr>
          <w:b/>
          <w:i/>
          <w:iCs/>
        </w:rPr>
        <w:t>Putting the Worker Front and Center</w:t>
      </w:r>
    </w:p>
    <w:p w14:paraId="2D3C80C2" w14:textId="77777777" w:rsidR="004C730D" w:rsidRDefault="004C730D" w:rsidP="00452422">
      <w:pPr>
        <w:spacing w:line="240" w:lineRule="auto"/>
        <w:contextualSpacing/>
        <w:rPr>
          <w:sz w:val="22"/>
          <w:szCs w:val="22"/>
        </w:rPr>
      </w:pPr>
    </w:p>
    <w:p w14:paraId="570C31B7" w14:textId="4593CDDF" w:rsidR="00E31175" w:rsidRPr="009272C5" w:rsidRDefault="00692E4B" w:rsidP="00452422">
      <w:pPr>
        <w:spacing w:line="240" w:lineRule="auto"/>
        <w:contextualSpacing/>
        <w:rPr>
          <w:color w:val="000000" w:themeColor="text1"/>
          <w:sz w:val="22"/>
          <w:szCs w:val="22"/>
        </w:rPr>
      </w:pPr>
      <w:r w:rsidRPr="009272C5">
        <w:rPr>
          <w:color w:val="000000" w:themeColor="text1"/>
          <w:sz w:val="22"/>
          <w:szCs w:val="22"/>
        </w:rPr>
        <w:t xml:space="preserve">The priority of MCD in 2023 aligns with the AOM’s 2023 theme, </w:t>
      </w:r>
      <w:r w:rsidR="0073277C" w:rsidRPr="009272C5">
        <w:rPr>
          <w:b/>
          <w:i/>
          <w:color w:val="000000" w:themeColor="text1"/>
          <w:sz w:val="22"/>
          <w:szCs w:val="22"/>
        </w:rPr>
        <w:t>“</w:t>
      </w:r>
      <w:r w:rsidR="0072758F" w:rsidRPr="009272C5">
        <w:rPr>
          <w:b/>
          <w:i/>
          <w:color w:val="000000" w:themeColor="text1"/>
          <w:sz w:val="22"/>
          <w:szCs w:val="22"/>
        </w:rPr>
        <w:t>Putting the Worker Front and Center</w:t>
      </w:r>
      <w:r w:rsidR="008660A9" w:rsidRPr="009272C5">
        <w:rPr>
          <w:b/>
          <w:i/>
          <w:color w:val="000000" w:themeColor="text1"/>
          <w:sz w:val="22"/>
          <w:szCs w:val="22"/>
        </w:rPr>
        <w:t>,</w:t>
      </w:r>
      <w:r w:rsidR="0073277C" w:rsidRPr="009272C5">
        <w:rPr>
          <w:b/>
          <w:i/>
          <w:color w:val="000000" w:themeColor="text1"/>
          <w:sz w:val="22"/>
          <w:szCs w:val="22"/>
        </w:rPr>
        <w:t>”</w:t>
      </w:r>
      <w:r w:rsidR="0073277C" w:rsidRPr="009272C5">
        <w:rPr>
          <w:color w:val="000000" w:themeColor="text1"/>
          <w:sz w:val="22"/>
          <w:szCs w:val="22"/>
        </w:rPr>
        <w:t xml:space="preserve"> </w:t>
      </w:r>
      <w:r w:rsidRPr="009272C5">
        <w:rPr>
          <w:color w:val="000000" w:themeColor="text1"/>
          <w:sz w:val="22"/>
          <w:szCs w:val="22"/>
        </w:rPr>
        <w:t xml:space="preserve">which </w:t>
      </w:r>
      <w:r w:rsidR="00895C7B" w:rsidRPr="009272C5">
        <w:rPr>
          <w:color w:val="000000" w:themeColor="text1"/>
          <w:sz w:val="22"/>
          <w:szCs w:val="22"/>
        </w:rPr>
        <w:t xml:space="preserve">provides </w:t>
      </w:r>
      <w:r w:rsidRPr="009272C5">
        <w:rPr>
          <w:color w:val="000000" w:themeColor="text1"/>
          <w:sz w:val="22"/>
          <w:szCs w:val="22"/>
        </w:rPr>
        <w:t>the</w:t>
      </w:r>
      <w:r w:rsidR="00895C7B" w:rsidRPr="009272C5">
        <w:rPr>
          <w:color w:val="000000" w:themeColor="text1"/>
          <w:sz w:val="22"/>
          <w:szCs w:val="22"/>
        </w:rPr>
        <w:t xml:space="preserve"> community of consulting </w:t>
      </w:r>
      <w:r w:rsidR="001B5A73" w:rsidRPr="009272C5">
        <w:rPr>
          <w:color w:val="000000" w:themeColor="text1"/>
          <w:sz w:val="22"/>
          <w:szCs w:val="22"/>
        </w:rPr>
        <w:t>scholar-practitioners</w:t>
      </w:r>
      <w:r w:rsidR="00895C7B" w:rsidRPr="009272C5">
        <w:rPr>
          <w:color w:val="000000" w:themeColor="text1"/>
          <w:sz w:val="22"/>
          <w:szCs w:val="22"/>
        </w:rPr>
        <w:t xml:space="preserve"> the opportunity to focus on labor, workforce, human resource, and </w:t>
      </w:r>
      <w:r w:rsidR="008660A9" w:rsidRPr="009272C5">
        <w:rPr>
          <w:color w:val="000000" w:themeColor="text1"/>
          <w:sz w:val="22"/>
          <w:szCs w:val="22"/>
        </w:rPr>
        <w:t>workforce</w:t>
      </w:r>
      <w:r w:rsidR="00895C7B" w:rsidRPr="009272C5">
        <w:rPr>
          <w:color w:val="000000" w:themeColor="text1"/>
          <w:sz w:val="22"/>
          <w:szCs w:val="22"/>
        </w:rPr>
        <w:t xml:space="preserve"> development as the </w:t>
      </w:r>
      <w:r w:rsidR="008660A9" w:rsidRPr="009272C5">
        <w:rPr>
          <w:color w:val="000000" w:themeColor="text1"/>
          <w:sz w:val="22"/>
          <w:szCs w:val="22"/>
        </w:rPr>
        <w:t>critical</w:t>
      </w:r>
      <w:r w:rsidR="00895C7B" w:rsidRPr="009272C5">
        <w:rPr>
          <w:color w:val="000000" w:themeColor="text1"/>
          <w:sz w:val="22"/>
          <w:szCs w:val="22"/>
        </w:rPr>
        <w:t xml:space="preserve"> engine of any economy. It also allows us to demonstrate </w:t>
      </w:r>
      <w:r w:rsidR="00C040DC" w:rsidRPr="009272C5">
        <w:rPr>
          <w:color w:val="000000" w:themeColor="text1"/>
          <w:sz w:val="22"/>
          <w:szCs w:val="22"/>
        </w:rPr>
        <w:t>various</w:t>
      </w:r>
      <w:r w:rsidR="00895C7B" w:rsidRPr="009272C5">
        <w:rPr>
          <w:color w:val="000000" w:themeColor="text1"/>
          <w:sz w:val="22"/>
          <w:szCs w:val="22"/>
        </w:rPr>
        <w:t xml:space="preserve"> </w:t>
      </w:r>
      <w:r w:rsidR="00C04F90" w:rsidRPr="009272C5">
        <w:rPr>
          <w:color w:val="000000" w:themeColor="text1"/>
          <w:sz w:val="22"/>
          <w:szCs w:val="22"/>
        </w:rPr>
        <w:t xml:space="preserve">consulting </w:t>
      </w:r>
      <w:r w:rsidR="00C040DC" w:rsidRPr="009272C5">
        <w:rPr>
          <w:color w:val="000000" w:themeColor="text1"/>
          <w:sz w:val="22"/>
          <w:szCs w:val="22"/>
        </w:rPr>
        <w:t>scholarships</w:t>
      </w:r>
      <w:r w:rsidR="00C04F90" w:rsidRPr="009272C5">
        <w:rPr>
          <w:color w:val="000000" w:themeColor="text1"/>
          <w:sz w:val="22"/>
          <w:szCs w:val="22"/>
        </w:rPr>
        <w:t xml:space="preserve"> and practices</w:t>
      </w:r>
      <w:r w:rsidR="00C040DC" w:rsidRPr="009272C5">
        <w:rPr>
          <w:color w:val="000000" w:themeColor="text1"/>
          <w:sz w:val="22"/>
          <w:szCs w:val="22"/>
        </w:rPr>
        <w:t xml:space="preserve"> used or may be used to improve management functioning in human resource development and workers’ relations, labor, service, and technological transformation. </w:t>
      </w:r>
      <w:r w:rsidR="00C04F90" w:rsidRPr="009272C5">
        <w:rPr>
          <w:color w:val="000000" w:themeColor="text1"/>
          <w:sz w:val="22"/>
          <w:szCs w:val="22"/>
        </w:rPr>
        <w:t xml:space="preserve"> </w:t>
      </w:r>
    </w:p>
    <w:p w14:paraId="7D4B6BE6" w14:textId="77777777" w:rsidR="00FD72DA" w:rsidRDefault="00FD72DA" w:rsidP="00FD72DA">
      <w:pPr>
        <w:spacing w:line="240" w:lineRule="auto"/>
        <w:contextualSpacing/>
        <w:jc w:val="both"/>
        <w:rPr>
          <w:color w:val="FF0000"/>
        </w:rPr>
      </w:pPr>
    </w:p>
    <w:p w14:paraId="469286EC" w14:textId="51775B2D" w:rsidR="00453569" w:rsidRPr="00D43944" w:rsidRDefault="00453569" w:rsidP="00B97F7F">
      <w:pPr>
        <w:spacing w:line="240" w:lineRule="auto"/>
        <w:contextualSpacing/>
        <w:jc w:val="center"/>
        <w:rPr>
          <w:b/>
          <w:bCs/>
          <w:sz w:val="22"/>
          <w:szCs w:val="22"/>
        </w:rPr>
      </w:pPr>
      <w:r w:rsidRPr="00D43944">
        <w:rPr>
          <w:b/>
          <w:bCs/>
          <w:sz w:val="22"/>
          <w:szCs w:val="22"/>
        </w:rPr>
        <w:t>Call for Submissions</w:t>
      </w:r>
    </w:p>
    <w:p w14:paraId="42178EB6" w14:textId="3F5006CA" w:rsidR="00453569" w:rsidRDefault="00453569" w:rsidP="008418CB">
      <w:pPr>
        <w:spacing w:line="240" w:lineRule="auto"/>
        <w:contextualSpacing/>
        <w:rPr>
          <w:sz w:val="22"/>
          <w:szCs w:val="22"/>
        </w:rPr>
      </w:pPr>
    </w:p>
    <w:p w14:paraId="4F4A3974" w14:textId="2293AB2B" w:rsidR="00FD72DA" w:rsidRDefault="00D43944" w:rsidP="008418CB">
      <w:pPr>
        <w:spacing w:line="240" w:lineRule="auto"/>
        <w:contextualSpacing/>
        <w:rPr>
          <w:sz w:val="22"/>
          <w:szCs w:val="22"/>
        </w:rPr>
      </w:pPr>
      <w:r>
        <w:rPr>
          <w:sz w:val="22"/>
          <w:szCs w:val="22"/>
        </w:rPr>
        <w:t xml:space="preserve">This call for </w:t>
      </w:r>
      <w:r w:rsidR="00FD72DA">
        <w:rPr>
          <w:sz w:val="22"/>
          <w:szCs w:val="22"/>
        </w:rPr>
        <w:t>submissions</w:t>
      </w:r>
      <w:r>
        <w:rPr>
          <w:sz w:val="22"/>
          <w:szCs w:val="22"/>
        </w:rPr>
        <w:t xml:space="preserve"> is open to all scholar-practitioners around the globe, including the members of MCD, members of other divisions of AOM, and members of the larger management consulting community.</w:t>
      </w:r>
      <w:r w:rsidR="0009007A">
        <w:rPr>
          <w:sz w:val="22"/>
          <w:szCs w:val="22"/>
        </w:rPr>
        <w:t xml:space="preserve"> MCD welcomes the </w:t>
      </w:r>
      <w:r w:rsidR="002D0E7D">
        <w:rPr>
          <w:sz w:val="22"/>
          <w:szCs w:val="22"/>
        </w:rPr>
        <w:t>formal</w:t>
      </w:r>
      <w:r w:rsidR="0009007A">
        <w:rPr>
          <w:sz w:val="22"/>
          <w:szCs w:val="22"/>
        </w:rPr>
        <w:t xml:space="preserve"> academic submissions that are developed through the induction process. </w:t>
      </w:r>
      <w:r w:rsidR="0009007A" w:rsidRPr="00335008">
        <w:rPr>
          <w:b/>
          <w:bCs/>
          <w:sz w:val="22"/>
          <w:szCs w:val="22"/>
        </w:rPr>
        <w:t>This year, MCD also welcomes practice-oriented submissions that are mainly deductive in nature.</w:t>
      </w:r>
      <w:r w:rsidR="0009007A">
        <w:rPr>
          <w:sz w:val="22"/>
          <w:szCs w:val="22"/>
        </w:rPr>
        <w:t xml:space="preserve"> MCD believes that submissions drawing on practice, even at the early formalization stage</w:t>
      </w:r>
      <w:r w:rsidR="003E4382">
        <w:rPr>
          <w:sz w:val="22"/>
          <w:szCs w:val="22"/>
        </w:rPr>
        <w:t>,</w:t>
      </w:r>
      <w:r w:rsidR="0009007A">
        <w:rPr>
          <w:sz w:val="22"/>
          <w:szCs w:val="22"/>
        </w:rPr>
        <w:t xml:space="preserve"> would be value-added to management knowledge. Therefore, both theoretical-based and practice-oriented </w:t>
      </w:r>
      <w:r w:rsidR="009174E4">
        <w:rPr>
          <w:sz w:val="22"/>
          <w:szCs w:val="22"/>
        </w:rPr>
        <w:t xml:space="preserve">submissions by scholar-practitioners, </w:t>
      </w:r>
      <w:r w:rsidR="0009007A">
        <w:rPr>
          <w:sz w:val="22"/>
          <w:szCs w:val="22"/>
        </w:rPr>
        <w:t>doctoral</w:t>
      </w:r>
      <w:r w:rsidR="009174E4">
        <w:rPr>
          <w:sz w:val="22"/>
          <w:szCs w:val="22"/>
        </w:rPr>
        <w:t xml:space="preserve"> </w:t>
      </w:r>
      <w:r w:rsidR="0009007A">
        <w:rPr>
          <w:sz w:val="22"/>
          <w:szCs w:val="22"/>
        </w:rPr>
        <w:t>students</w:t>
      </w:r>
      <w:r w:rsidR="00AF2EDB">
        <w:rPr>
          <w:sz w:val="22"/>
          <w:szCs w:val="22"/>
        </w:rPr>
        <w:t>,</w:t>
      </w:r>
      <w:r w:rsidR="0009007A">
        <w:rPr>
          <w:sz w:val="22"/>
          <w:szCs w:val="22"/>
        </w:rPr>
        <w:t xml:space="preserve"> and DBA candidates are encouraged, as well as management consultants who still need to become familiar with academic research, as writing on their practice </w:t>
      </w:r>
      <w:r w:rsidR="00C179EB">
        <w:rPr>
          <w:sz w:val="22"/>
          <w:szCs w:val="22"/>
        </w:rPr>
        <w:t>enhances</w:t>
      </w:r>
      <w:r w:rsidR="0009007A">
        <w:rPr>
          <w:sz w:val="22"/>
          <w:szCs w:val="22"/>
        </w:rPr>
        <w:t xml:space="preserve"> reflexivity. </w:t>
      </w:r>
    </w:p>
    <w:p w14:paraId="065CDE15" w14:textId="77777777" w:rsidR="00FD72DA" w:rsidRDefault="00FD72DA" w:rsidP="008418CB">
      <w:pPr>
        <w:spacing w:line="240" w:lineRule="auto"/>
        <w:contextualSpacing/>
        <w:rPr>
          <w:sz w:val="22"/>
          <w:szCs w:val="22"/>
        </w:rPr>
      </w:pPr>
    </w:p>
    <w:p w14:paraId="6B089CAF" w14:textId="3EBB5277" w:rsidR="00754698" w:rsidRDefault="00D43944" w:rsidP="008418CB">
      <w:pPr>
        <w:spacing w:line="240" w:lineRule="auto"/>
        <w:contextualSpacing/>
        <w:rPr>
          <w:sz w:val="22"/>
          <w:szCs w:val="22"/>
        </w:rPr>
      </w:pPr>
      <w:r>
        <w:rPr>
          <w:sz w:val="22"/>
          <w:szCs w:val="22"/>
        </w:rPr>
        <w:t xml:space="preserve">Submitters may consider </w:t>
      </w:r>
      <w:r w:rsidR="001148BF">
        <w:rPr>
          <w:b/>
          <w:bCs/>
          <w:sz w:val="22"/>
          <w:szCs w:val="22"/>
        </w:rPr>
        <w:t>various</w:t>
      </w:r>
      <w:r w:rsidRPr="00D43944">
        <w:rPr>
          <w:b/>
          <w:bCs/>
          <w:sz w:val="22"/>
          <w:szCs w:val="22"/>
        </w:rPr>
        <w:t xml:space="preserve"> submissions</w:t>
      </w:r>
      <w:r>
        <w:rPr>
          <w:sz w:val="22"/>
          <w:szCs w:val="22"/>
        </w:rPr>
        <w:t xml:space="preserve"> that </w:t>
      </w:r>
      <w:r w:rsidRPr="00D43944">
        <w:rPr>
          <w:b/>
          <w:bCs/>
          <w:sz w:val="22"/>
          <w:szCs w:val="22"/>
        </w:rPr>
        <w:t xml:space="preserve">address </w:t>
      </w:r>
      <w:r w:rsidR="00FE1EFB">
        <w:rPr>
          <w:b/>
          <w:bCs/>
          <w:sz w:val="22"/>
          <w:szCs w:val="22"/>
        </w:rPr>
        <w:t>issues in all facets of the</w:t>
      </w:r>
      <w:r w:rsidRPr="00D43944">
        <w:rPr>
          <w:b/>
          <w:bCs/>
          <w:sz w:val="22"/>
          <w:szCs w:val="22"/>
        </w:rPr>
        <w:t xml:space="preserve"> discipline of management consulting</w:t>
      </w:r>
      <w:r>
        <w:rPr>
          <w:sz w:val="22"/>
          <w:szCs w:val="22"/>
        </w:rPr>
        <w:t xml:space="preserve"> and </w:t>
      </w:r>
      <w:r w:rsidR="00186000">
        <w:rPr>
          <w:b/>
          <w:bCs/>
          <w:sz w:val="22"/>
          <w:szCs w:val="22"/>
        </w:rPr>
        <w:t>matters</w:t>
      </w:r>
      <w:r w:rsidRPr="00D43944">
        <w:rPr>
          <w:b/>
          <w:bCs/>
          <w:sz w:val="22"/>
          <w:szCs w:val="22"/>
        </w:rPr>
        <w:t xml:space="preserve"> connected with the AOM’s Annual Meeting theme</w:t>
      </w:r>
      <w:r w:rsidR="001148BF">
        <w:rPr>
          <w:sz w:val="22"/>
          <w:szCs w:val="22"/>
        </w:rPr>
        <w:t xml:space="preserve">, </w:t>
      </w:r>
      <w:r w:rsidRPr="001148BF">
        <w:rPr>
          <w:b/>
          <w:bCs/>
          <w:i/>
          <w:iCs/>
          <w:sz w:val="22"/>
          <w:szCs w:val="22"/>
        </w:rPr>
        <w:t>Putting the Worker Front and Center</w:t>
      </w:r>
      <w:r w:rsidR="00754698">
        <w:rPr>
          <w:sz w:val="22"/>
          <w:szCs w:val="22"/>
        </w:rPr>
        <w:t>,</w:t>
      </w:r>
      <w:r w:rsidR="00FE1EFB">
        <w:rPr>
          <w:sz w:val="22"/>
          <w:szCs w:val="22"/>
        </w:rPr>
        <w:t xml:space="preserve"> </w:t>
      </w:r>
      <w:r w:rsidR="00835BC1">
        <w:rPr>
          <w:sz w:val="22"/>
          <w:szCs w:val="22"/>
        </w:rPr>
        <w:t>f</w:t>
      </w:r>
      <w:r w:rsidR="00754698">
        <w:rPr>
          <w:sz w:val="22"/>
          <w:szCs w:val="22"/>
        </w:rPr>
        <w:t>or example:</w:t>
      </w:r>
    </w:p>
    <w:p w14:paraId="6D4E668F" w14:textId="73C16F30" w:rsidR="00754698" w:rsidRDefault="00754698" w:rsidP="008418CB">
      <w:pPr>
        <w:spacing w:line="240" w:lineRule="auto"/>
        <w:contextualSpacing/>
        <w:rPr>
          <w:sz w:val="22"/>
          <w:szCs w:val="22"/>
        </w:rPr>
      </w:pPr>
    </w:p>
    <w:p w14:paraId="21734D5B" w14:textId="77777777" w:rsidR="00082D8A" w:rsidRDefault="00082D8A" w:rsidP="00754698">
      <w:pPr>
        <w:pStyle w:val="ListParagraph"/>
        <w:numPr>
          <w:ilvl w:val="0"/>
          <w:numId w:val="1"/>
        </w:numPr>
        <w:spacing w:line="240" w:lineRule="auto"/>
        <w:rPr>
          <w:sz w:val="22"/>
          <w:szCs w:val="22"/>
        </w:rPr>
      </w:pPr>
      <w:r>
        <w:rPr>
          <w:sz w:val="22"/>
          <w:szCs w:val="22"/>
        </w:rPr>
        <w:lastRenderedPageBreak/>
        <w:t>Understanding the compassion-centric organizational behaviors and their implications on digital transformation.</w:t>
      </w:r>
    </w:p>
    <w:p w14:paraId="13707524" w14:textId="25FC4AF9" w:rsidR="00754698" w:rsidRDefault="00754698" w:rsidP="00754698">
      <w:pPr>
        <w:pStyle w:val="ListParagraph"/>
        <w:numPr>
          <w:ilvl w:val="0"/>
          <w:numId w:val="1"/>
        </w:numPr>
        <w:spacing w:line="240" w:lineRule="auto"/>
        <w:rPr>
          <w:sz w:val="22"/>
          <w:szCs w:val="22"/>
        </w:rPr>
      </w:pPr>
      <w:r w:rsidRPr="00F50EB1">
        <w:rPr>
          <w:sz w:val="22"/>
          <w:szCs w:val="22"/>
        </w:rPr>
        <w:t>The practices and processes we teach our clients that contribute to a more inclusive society and the health and well-being of diverse communities.</w:t>
      </w:r>
    </w:p>
    <w:p w14:paraId="1DA9819F" w14:textId="70EA3861" w:rsidR="00754698" w:rsidRPr="00F50EB1" w:rsidRDefault="00754698" w:rsidP="00754698">
      <w:pPr>
        <w:pStyle w:val="ListParagraph"/>
        <w:numPr>
          <w:ilvl w:val="0"/>
          <w:numId w:val="1"/>
        </w:numPr>
        <w:spacing w:line="240" w:lineRule="auto"/>
        <w:rPr>
          <w:sz w:val="22"/>
          <w:szCs w:val="22"/>
        </w:rPr>
      </w:pPr>
      <w:r w:rsidRPr="00F50EB1">
        <w:rPr>
          <w:sz w:val="22"/>
          <w:szCs w:val="22"/>
        </w:rPr>
        <w:t xml:space="preserve">How we help organizations deal with increasing </w:t>
      </w:r>
      <w:r>
        <w:rPr>
          <w:sz w:val="22"/>
          <w:szCs w:val="22"/>
        </w:rPr>
        <w:t>diversity, equity, inclusion, and justice in the workplace.</w:t>
      </w:r>
      <w:r w:rsidRPr="00F50EB1">
        <w:rPr>
          <w:sz w:val="22"/>
          <w:szCs w:val="22"/>
        </w:rPr>
        <w:t xml:space="preserve"> </w:t>
      </w:r>
    </w:p>
    <w:p w14:paraId="2109CB9B" w14:textId="5E4B8823" w:rsidR="00082D8A" w:rsidRPr="00F50EB1" w:rsidRDefault="00082D8A" w:rsidP="00082D8A">
      <w:pPr>
        <w:pStyle w:val="ListParagraph"/>
        <w:numPr>
          <w:ilvl w:val="0"/>
          <w:numId w:val="1"/>
        </w:numPr>
        <w:spacing w:line="240" w:lineRule="auto"/>
        <w:rPr>
          <w:sz w:val="22"/>
          <w:szCs w:val="22"/>
        </w:rPr>
      </w:pPr>
      <w:r w:rsidRPr="00F50EB1">
        <w:rPr>
          <w:sz w:val="22"/>
          <w:szCs w:val="22"/>
        </w:rPr>
        <w:t xml:space="preserve">What </w:t>
      </w:r>
      <w:r>
        <w:rPr>
          <w:sz w:val="22"/>
          <w:szCs w:val="22"/>
        </w:rPr>
        <w:t>can consultants</w:t>
      </w:r>
      <w:r w:rsidRPr="00F50EB1">
        <w:rPr>
          <w:sz w:val="22"/>
          <w:szCs w:val="22"/>
        </w:rPr>
        <w:t xml:space="preserve"> do to assist clients </w:t>
      </w:r>
      <w:r w:rsidR="00186000">
        <w:rPr>
          <w:sz w:val="22"/>
          <w:szCs w:val="22"/>
        </w:rPr>
        <w:t>in leveraging</w:t>
      </w:r>
      <w:r w:rsidRPr="00F50EB1">
        <w:rPr>
          <w:sz w:val="22"/>
          <w:szCs w:val="22"/>
        </w:rPr>
        <w:t xml:space="preserve"> digital technology </w:t>
      </w:r>
      <w:r w:rsidRPr="00FA528B">
        <w:rPr>
          <w:sz w:val="22"/>
          <w:szCs w:val="22"/>
        </w:rPr>
        <w:t>and Artificial Intelligence</w:t>
      </w:r>
      <w:r w:rsidRPr="00F50EB1">
        <w:rPr>
          <w:sz w:val="22"/>
          <w:szCs w:val="22"/>
        </w:rPr>
        <w:t xml:space="preserve"> </w:t>
      </w:r>
      <w:r w:rsidR="00186000">
        <w:rPr>
          <w:sz w:val="22"/>
          <w:szCs w:val="22"/>
        </w:rPr>
        <w:t>to serve better</w:t>
      </w:r>
      <w:r w:rsidRPr="00F50EB1">
        <w:rPr>
          <w:sz w:val="22"/>
          <w:szCs w:val="22"/>
        </w:rPr>
        <w:t xml:space="preserve"> the life and well-being of both customers and employees</w:t>
      </w:r>
      <w:r>
        <w:rPr>
          <w:sz w:val="22"/>
          <w:szCs w:val="22"/>
        </w:rPr>
        <w:t>?</w:t>
      </w:r>
      <w:r w:rsidRPr="00F50EB1">
        <w:rPr>
          <w:sz w:val="22"/>
          <w:szCs w:val="22"/>
        </w:rPr>
        <w:t xml:space="preserve"> </w:t>
      </w:r>
    </w:p>
    <w:p w14:paraId="04ADE151" w14:textId="4E53C9D0" w:rsidR="00754698" w:rsidRDefault="00082D8A" w:rsidP="00754698">
      <w:pPr>
        <w:pStyle w:val="ListParagraph"/>
        <w:numPr>
          <w:ilvl w:val="0"/>
          <w:numId w:val="1"/>
        </w:numPr>
        <w:spacing w:line="240" w:lineRule="auto"/>
        <w:rPr>
          <w:sz w:val="22"/>
          <w:szCs w:val="22"/>
        </w:rPr>
      </w:pPr>
      <w:r>
        <w:rPr>
          <w:sz w:val="22"/>
          <w:szCs w:val="22"/>
        </w:rPr>
        <w:t>How consultants can assist with organizational and systems design for job crafting, work procedures, and processes that improve performance.</w:t>
      </w:r>
    </w:p>
    <w:p w14:paraId="7F720FB8" w14:textId="2B81F067" w:rsidR="00082D8A" w:rsidRDefault="00082D8A" w:rsidP="00754698">
      <w:pPr>
        <w:pStyle w:val="ListParagraph"/>
        <w:numPr>
          <w:ilvl w:val="0"/>
          <w:numId w:val="1"/>
        </w:numPr>
        <w:spacing w:line="240" w:lineRule="auto"/>
        <w:rPr>
          <w:sz w:val="22"/>
          <w:szCs w:val="22"/>
        </w:rPr>
      </w:pPr>
      <w:r>
        <w:rPr>
          <w:sz w:val="22"/>
          <w:szCs w:val="22"/>
        </w:rPr>
        <w:t xml:space="preserve">Reconciling the </w:t>
      </w:r>
      <w:r w:rsidR="00AE46C3">
        <w:rPr>
          <w:sz w:val="22"/>
          <w:szCs w:val="22"/>
        </w:rPr>
        <w:t xml:space="preserve">true meaning and value of people, technology, and leadership in the organization through consulting lenses. </w:t>
      </w:r>
    </w:p>
    <w:p w14:paraId="1385CC2B" w14:textId="6CDB7382" w:rsidR="00AE46C3" w:rsidRDefault="00AE46C3" w:rsidP="00754698">
      <w:pPr>
        <w:pStyle w:val="ListParagraph"/>
        <w:numPr>
          <w:ilvl w:val="0"/>
          <w:numId w:val="1"/>
        </w:numPr>
        <w:spacing w:line="240" w:lineRule="auto"/>
        <w:rPr>
          <w:sz w:val="22"/>
          <w:szCs w:val="22"/>
        </w:rPr>
      </w:pPr>
      <w:r>
        <w:rPr>
          <w:sz w:val="22"/>
          <w:szCs w:val="22"/>
        </w:rPr>
        <w:t>How consultants can assist with the interplay of societal productivity demand, quality of life, and increased stress levels and implications on human families.</w:t>
      </w:r>
    </w:p>
    <w:p w14:paraId="39EB256F" w14:textId="702C9E45" w:rsidR="00AE46C3" w:rsidRDefault="00AE46C3" w:rsidP="00754698">
      <w:pPr>
        <w:pStyle w:val="ListParagraph"/>
        <w:numPr>
          <w:ilvl w:val="0"/>
          <w:numId w:val="1"/>
        </w:numPr>
        <w:spacing w:line="240" w:lineRule="auto"/>
        <w:rPr>
          <w:sz w:val="22"/>
          <w:szCs w:val="22"/>
        </w:rPr>
      </w:pPr>
      <w:r>
        <w:rPr>
          <w:sz w:val="22"/>
          <w:szCs w:val="22"/>
        </w:rPr>
        <w:t>What do we know about the health and wellness of people and the professionals assigned to treat and provide healing and wellness to the clients and patients seeking health care?</w:t>
      </w:r>
    </w:p>
    <w:p w14:paraId="597C1F25" w14:textId="12B29743" w:rsidR="00AE46C3" w:rsidRDefault="00AE46C3" w:rsidP="00AE46C3">
      <w:pPr>
        <w:pStyle w:val="ListParagraph"/>
        <w:numPr>
          <w:ilvl w:val="0"/>
          <w:numId w:val="1"/>
        </w:numPr>
        <w:spacing w:line="240" w:lineRule="auto"/>
        <w:rPr>
          <w:sz w:val="22"/>
          <w:szCs w:val="22"/>
        </w:rPr>
      </w:pPr>
      <w:r w:rsidRPr="00F50EB1">
        <w:rPr>
          <w:sz w:val="22"/>
          <w:szCs w:val="22"/>
        </w:rPr>
        <w:t xml:space="preserve">How </w:t>
      </w:r>
      <w:r>
        <w:rPr>
          <w:sz w:val="22"/>
          <w:szCs w:val="22"/>
        </w:rPr>
        <w:t xml:space="preserve">do </w:t>
      </w:r>
      <w:r w:rsidRPr="00F50EB1">
        <w:rPr>
          <w:sz w:val="22"/>
          <w:szCs w:val="22"/>
        </w:rPr>
        <w:t>we</w:t>
      </w:r>
      <w:r w:rsidR="00186000">
        <w:rPr>
          <w:sz w:val="22"/>
          <w:szCs w:val="22"/>
        </w:rPr>
        <w:t>,</w:t>
      </w:r>
      <w:r w:rsidRPr="00F50EB1">
        <w:rPr>
          <w:sz w:val="22"/>
          <w:szCs w:val="22"/>
        </w:rPr>
        <w:t xml:space="preserve"> </w:t>
      </w:r>
      <w:r>
        <w:rPr>
          <w:sz w:val="22"/>
          <w:szCs w:val="22"/>
        </w:rPr>
        <w:t xml:space="preserve">as scholar-practitioners, </w:t>
      </w:r>
      <w:r w:rsidRPr="00F50EB1">
        <w:rPr>
          <w:sz w:val="22"/>
          <w:szCs w:val="22"/>
        </w:rPr>
        <w:t>build “improving lives” into our consulting and teaching practices</w:t>
      </w:r>
      <w:r>
        <w:rPr>
          <w:sz w:val="22"/>
          <w:szCs w:val="22"/>
        </w:rPr>
        <w:t>?</w:t>
      </w:r>
    </w:p>
    <w:p w14:paraId="3D3CF953" w14:textId="59E3D1C5" w:rsidR="00A80949" w:rsidRDefault="00A80949" w:rsidP="00AE46C3">
      <w:pPr>
        <w:pStyle w:val="ListParagraph"/>
        <w:numPr>
          <w:ilvl w:val="0"/>
          <w:numId w:val="1"/>
        </w:numPr>
        <w:spacing w:line="240" w:lineRule="auto"/>
        <w:rPr>
          <w:sz w:val="22"/>
          <w:szCs w:val="22"/>
        </w:rPr>
      </w:pPr>
      <w:r>
        <w:rPr>
          <w:sz w:val="22"/>
          <w:szCs w:val="22"/>
        </w:rPr>
        <w:t xml:space="preserve">Is the relationship in an organization between people and Artificial Intelligence a </w:t>
      </w:r>
      <w:r w:rsidR="00835BC1">
        <w:rPr>
          <w:sz w:val="22"/>
          <w:szCs w:val="22"/>
        </w:rPr>
        <w:t xml:space="preserve">conflict, a </w:t>
      </w:r>
      <w:r>
        <w:rPr>
          <w:sz w:val="22"/>
          <w:szCs w:val="22"/>
        </w:rPr>
        <w:t>tension</w:t>
      </w:r>
      <w:r w:rsidR="00835BC1">
        <w:rPr>
          <w:sz w:val="22"/>
          <w:szCs w:val="22"/>
        </w:rPr>
        <w:t>,</w:t>
      </w:r>
      <w:r>
        <w:rPr>
          <w:sz w:val="22"/>
          <w:szCs w:val="22"/>
        </w:rPr>
        <w:t xml:space="preserve"> or a good </w:t>
      </w:r>
      <w:r w:rsidR="0002671B">
        <w:rPr>
          <w:sz w:val="22"/>
          <w:szCs w:val="22"/>
        </w:rPr>
        <w:t>‘</w:t>
      </w:r>
      <w:r>
        <w:rPr>
          <w:sz w:val="22"/>
          <w:szCs w:val="22"/>
        </w:rPr>
        <w:t>dance</w:t>
      </w:r>
      <w:r w:rsidR="0002671B">
        <w:rPr>
          <w:sz w:val="22"/>
          <w:szCs w:val="22"/>
        </w:rPr>
        <w:t>’</w:t>
      </w:r>
      <w:r>
        <w:rPr>
          <w:sz w:val="22"/>
          <w:szCs w:val="22"/>
        </w:rPr>
        <w:t>?</w:t>
      </w:r>
      <w:r w:rsidR="00835BC1">
        <w:rPr>
          <w:sz w:val="22"/>
          <w:szCs w:val="22"/>
        </w:rPr>
        <w:t xml:space="preserve"> </w:t>
      </w:r>
    </w:p>
    <w:p w14:paraId="671ACE65" w14:textId="04E718E9" w:rsidR="003B07AB" w:rsidRPr="003B07AB" w:rsidRDefault="003B07AB" w:rsidP="003B07AB">
      <w:pPr>
        <w:spacing w:line="240" w:lineRule="auto"/>
        <w:rPr>
          <w:sz w:val="22"/>
          <w:szCs w:val="22"/>
        </w:rPr>
      </w:pPr>
      <w:r>
        <w:rPr>
          <w:sz w:val="22"/>
          <w:szCs w:val="22"/>
        </w:rPr>
        <w:t>Please note that all submissions involve a commitment to register and present or participate in the 83</w:t>
      </w:r>
      <w:r w:rsidRPr="003B07AB">
        <w:rPr>
          <w:sz w:val="22"/>
          <w:szCs w:val="22"/>
          <w:vertAlign w:val="superscript"/>
        </w:rPr>
        <w:t>rd</w:t>
      </w:r>
      <w:r>
        <w:rPr>
          <w:sz w:val="22"/>
          <w:szCs w:val="22"/>
        </w:rPr>
        <w:t xml:space="preserve"> Annual Meeting of the Academy of Management in Boston, Massachusetts, USA.</w:t>
      </w:r>
    </w:p>
    <w:p w14:paraId="16FBBF23" w14:textId="2A65E640" w:rsidR="003B07AB" w:rsidRPr="00335008" w:rsidRDefault="003B07AB" w:rsidP="00B97F7F">
      <w:pPr>
        <w:spacing w:line="240" w:lineRule="auto"/>
        <w:contextualSpacing/>
        <w:jc w:val="center"/>
        <w:rPr>
          <w:b/>
          <w:bCs/>
          <w:color w:val="000000" w:themeColor="text1"/>
          <w:sz w:val="22"/>
          <w:szCs w:val="22"/>
        </w:rPr>
      </w:pPr>
      <w:r w:rsidRPr="00335008">
        <w:rPr>
          <w:b/>
          <w:bCs/>
          <w:color w:val="000000" w:themeColor="text1"/>
          <w:sz w:val="22"/>
          <w:szCs w:val="22"/>
        </w:rPr>
        <w:t xml:space="preserve">Types of </w:t>
      </w:r>
      <w:r w:rsidR="00FD72DA" w:rsidRPr="00335008">
        <w:rPr>
          <w:b/>
          <w:bCs/>
          <w:color w:val="000000" w:themeColor="text1"/>
          <w:sz w:val="22"/>
          <w:szCs w:val="22"/>
        </w:rPr>
        <w:t>submissions</w:t>
      </w:r>
      <w:r w:rsidRPr="00335008">
        <w:rPr>
          <w:b/>
          <w:bCs/>
          <w:color w:val="000000" w:themeColor="text1"/>
          <w:sz w:val="22"/>
          <w:szCs w:val="22"/>
        </w:rPr>
        <w:t>:</w:t>
      </w:r>
    </w:p>
    <w:p w14:paraId="780EB875" w14:textId="77777777" w:rsidR="003B07AB" w:rsidRDefault="003B07AB" w:rsidP="008418CB">
      <w:pPr>
        <w:spacing w:line="240" w:lineRule="auto"/>
        <w:contextualSpacing/>
        <w:rPr>
          <w:sz w:val="22"/>
          <w:szCs w:val="22"/>
        </w:rPr>
      </w:pPr>
    </w:p>
    <w:p w14:paraId="6334AFA7" w14:textId="2A7CDD36" w:rsidR="001148BF" w:rsidRPr="00174D1D" w:rsidRDefault="00330BAF" w:rsidP="008418CB">
      <w:pPr>
        <w:spacing w:line="240" w:lineRule="auto"/>
        <w:contextualSpacing/>
        <w:rPr>
          <w:color w:val="000000" w:themeColor="text1"/>
          <w:sz w:val="22"/>
          <w:szCs w:val="22"/>
        </w:rPr>
      </w:pPr>
      <w:r>
        <w:rPr>
          <w:sz w:val="22"/>
          <w:szCs w:val="22"/>
        </w:rPr>
        <w:t>We invite</w:t>
      </w:r>
      <w:r w:rsidRPr="00335008">
        <w:rPr>
          <w:color w:val="000000" w:themeColor="text1"/>
          <w:sz w:val="22"/>
          <w:szCs w:val="22"/>
        </w:rPr>
        <w:t xml:space="preserve"> </w:t>
      </w:r>
      <w:r w:rsidR="00FD72DA" w:rsidRPr="00335008">
        <w:rPr>
          <w:color w:val="000000" w:themeColor="text1"/>
          <w:sz w:val="22"/>
          <w:szCs w:val="22"/>
        </w:rPr>
        <w:t>submissions</w:t>
      </w:r>
      <w:r w:rsidR="00AD2EE1" w:rsidRPr="00335008">
        <w:rPr>
          <w:color w:val="000000" w:themeColor="text1"/>
          <w:sz w:val="22"/>
          <w:szCs w:val="22"/>
        </w:rPr>
        <w:t xml:space="preserve"> </w:t>
      </w:r>
      <w:r w:rsidR="00AD2EE1">
        <w:rPr>
          <w:sz w:val="22"/>
          <w:szCs w:val="22"/>
        </w:rPr>
        <w:t xml:space="preserve">that fit any </w:t>
      </w:r>
      <w:r w:rsidR="00FA528B">
        <w:rPr>
          <w:sz w:val="22"/>
          <w:szCs w:val="22"/>
        </w:rPr>
        <w:t xml:space="preserve">of the </w:t>
      </w:r>
      <w:r w:rsidR="00186000">
        <w:rPr>
          <w:sz w:val="22"/>
          <w:szCs w:val="22"/>
        </w:rPr>
        <w:t>nine</w:t>
      </w:r>
      <w:r w:rsidR="00FA528B">
        <w:rPr>
          <w:sz w:val="22"/>
          <w:szCs w:val="22"/>
        </w:rPr>
        <w:t xml:space="preserve"> </w:t>
      </w:r>
      <w:r w:rsidR="00AD2EE1">
        <w:rPr>
          <w:sz w:val="22"/>
          <w:szCs w:val="22"/>
        </w:rPr>
        <w:t xml:space="preserve">categories </w:t>
      </w:r>
      <w:r w:rsidR="00E5511A">
        <w:rPr>
          <w:sz w:val="22"/>
          <w:szCs w:val="22"/>
        </w:rPr>
        <w:t>in the table below</w:t>
      </w:r>
      <w:r w:rsidR="00095497">
        <w:rPr>
          <w:sz w:val="22"/>
          <w:szCs w:val="22"/>
        </w:rPr>
        <w:t xml:space="preserve">. </w:t>
      </w:r>
      <w:r w:rsidR="00095497" w:rsidRPr="00174D1D">
        <w:rPr>
          <w:color w:val="000000" w:themeColor="text1"/>
          <w:sz w:val="22"/>
          <w:szCs w:val="22"/>
        </w:rPr>
        <w:t xml:space="preserve">You should indicate directly in the submission, beside the abstract, the type of submission you choose. </w:t>
      </w:r>
    </w:p>
    <w:p w14:paraId="54739C07" w14:textId="5EEB578A" w:rsidR="00F37473" w:rsidRPr="00095497" w:rsidRDefault="00F37473" w:rsidP="008418CB">
      <w:pPr>
        <w:spacing w:line="240" w:lineRule="auto"/>
        <w:contextualSpacing/>
        <w:rPr>
          <w:color w:val="FF0000"/>
          <w:sz w:val="22"/>
          <w:szCs w:val="22"/>
        </w:rPr>
      </w:pPr>
    </w:p>
    <w:p w14:paraId="058A2A78" w14:textId="3FD4CD1D" w:rsidR="00E5511A" w:rsidRDefault="00E5511A" w:rsidP="008418CB">
      <w:pPr>
        <w:spacing w:line="240" w:lineRule="auto"/>
        <w:contextualSpacing/>
        <w:rPr>
          <w:sz w:val="22"/>
          <w:szCs w:val="22"/>
        </w:rPr>
      </w:pPr>
      <w:r>
        <w:rPr>
          <w:sz w:val="22"/>
          <w:szCs w:val="22"/>
        </w:rPr>
        <w:t>Table of Submissions</w:t>
      </w:r>
    </w:p>
    <w:tbl>
      <w:tblPr>
        <w:tblStyle w:val="TableGrid"/>
        <w:tblW w:w="10915" w:type="dxa"/>
        <w:tblInd w:w="-5" w:type="dxa"/>
        <w:tblLook w:val="04A0" w:firstRow="1" w:lastRow="0" w:firstColumn="1" w:lastColumn="0" w:noHBand="0" w:noVBand="1"/>
      </w:tblPr>
      <w:tblGrid>
        <w:gridCol w:w="450"/>
        <w:gridCol w:w="2385"/>
        <w:gridCol w:w="8080"/>
      </w:tblGrid>
      <w:tr w:rsidR="002B580B" w:rsidRPr="00C27C85" w14:paraId="5176528D" w14:textId="77777777" w:rsidTr="002F685E">
        <w:tc>
          <w:tcPr>
            <w:tcW w:w="450" w:type="dxa"/>
          </w:tcPr>
          <w:p w14:paraId="6B4AA2B6" w14:textId="1D757067" w:rsidR="002B580B" w:rsidRPr="00C27C85" w:rsidRDefault="002B580B" w:rsidP="008418CB">
            <w:pPr>
              <w:contextualSpacing/>
              <w:rPr>
                <w:b/>
                <w:bCs/>
                <w:sz w:val="20"/>
                <w:szCs w:val="22"/>
              </w:rPr>
            </w:pPr>
            <w:r w:rsidRPr="00C27C85">
              <w:rPr>
                <w:b/>
                <w:bCs/>
                <w:sz w:val="20"/>
                <w:szCs w:val="22"/>
              </w:rPr>
              <w:t>#</w:t>
            </w:r>
          </w:p>
        </w:tc>
        <w:tc>
          <w:tcPr>
            <w:tcW w:w="2385" w:type="dxa"/>
          </w:tcPr>
          <w:p w14:paraId="2951080B" w14:textId="650250D8" w:rsidR="002B580B" w:rsidRPr="00C27C85" w:rsidRDefault="002B580B" w:rsidP="008418CB">
            <w:pPr>
              <w:contextualSpacing/>
              <w:rPr>
                <w:b/>
                <w:bCs/>
                <w:sz w:val="20"/>
                <w:szCs w:val="22"/>
              </w:rPr>
            </w:pPr>
            <w:r w:rsidRPr="00C27C85">
              <w:rPr>
                <w:b/>
                <w:bCs/>
                <w:sz w:val="20"/>
                <w:szCs w:val="22"/>
              </w:rPr>
              <w:t>Type of Submissions</w:t>
            </w:r>
          </w:p>
        </w:tc>
        <w:tc>
          <w:tcPr>
            <w:tcW w:w="8080" w:type="dxa"/>
          </w:tcPr>
          <w:p w14:paraId="13B09F83" w14:textId="77777777" w:rsidR="002B580B" w:rsidRPr="00C27C85" w:rsidRDefault="002B580B" w:rsidP="008418CB">
            <w:pPr>
              <w:contextualSpacing/>
              <w:rPr>
                <w:b/>
                <w:bCs/>
                <w:sz w:val="20"/>
                <w:szCs w:val="22"/>
              </w:rPr>
            </w:pPr>
            <w:r w:rsidRPr="00C27C85">
              <w:rPr>
                <w:b/>
                <w:bCs/>
                <w:sz w:val="20"/>
                <w:szCs w:val="22"/>
              </w:rPr>
              <w:t>Description of Submission</w:t>
            </w:r>
          </w:p>
          <w:p w14:paraId="24AE6570" w14:textId="7730516C" w:rsidR="001B2396" w:rsidRPr="00C27C85" w:rsidRDefault="001B2396" w:rsidP="008418CB">
            <w:pPr>
              <w:contextualSpacing/>
              <w:rPr>
                <w:b/>
                <w:bCs/>
                <w:sz w:val="20"/>
                <w:szCs w:val="22"/>
              </w:rPr>
            </w:pPr>
          </w:p>
        </w:tc>
      </w:tr>
      <w:tr w:rsidR="002B580B" w:rsidRPr="00C27C85" w14:paraId="43BEE11E" w14:textId="77777777" w:rsidTr="002F685E">
        <w:tc>
          <w:tcPr>
            <w:tcW w:w="450" w:type="dxa"/>
          </w:tcPr>
          <w:p w14:paraId="4349D565" w14:textId="24E46B9A" w:rsidR="002B580B" w:rsidRPr="00C27C85" w:rsidRDefault="002B580B" w:rsidP="008418CB">
            <w:pPr>
              <w:contextualSpacing/>
              <w:rPr>
                <w:sz w:val="20"/>
                <w:szCs w:val="22"/>
              </w:rPr>
            </w:pPr>
            <w:r w:rsidRPr="00C27C85">
              <w:rPr>
                <w:sz w:val="20"/>
                <w:szCs w:val="22"/>
              </w:rPr>
              <w:t>1</w:t>
            </w:r>
          </w:p>
        </w:tc>
        <w:tc>
          <w:tcPr>
            <w:tcW w:w="2385" w:type="dxa"/>
          </w:tcPr>
          <w:p w14:paraId="028C6C4C" w14:textId="12A40314" w:rsidR="002B580B" w:rsidRPr="00C27C85" w:rsidRDefault="002B580B" w:rsidP="008418CB">
            <w:pPr>
              <w:contextualSpacing/>
              <w:rPr>
                <w:sz w:val="20"/>
                <w:szCs w:val="22"/>
              </w:rPr>
            </w:pPr>
            <w:r w:rsidRPr="00C27C85">
              <w:rPr>
                <w:b/>
                <w:bCs/>
                <w:sz w:val="20"/>
                <w:szCs w:val="22"/>
              </w:rPr>
              <w:t>Scholarly papers</w:t>
            </w:r>
          </w:p>
        </w:tc>
        <w:tc>
          <w:tcPr>
            <w:tcW w:w="8080" w:type="dxa"/>
          </w:tcPr>
          <w:p w14:paraId="226DD8AB" w14:textId="77777777" w:rsidR="002B580B" w:rsidRPr="00C27C85" w:rsidRDefault="002B580B" w:rsidP="008418CB">
            <w:pPr>
              <w:contextualSpacing/>
              <w:rPr>
                <w:sz w:val="20"/>
                <w:szCs w:val="22"/>
              </w:rPr>
            </w:pPr>
            <w:r w:rsidRPr="00C27C85">
              <w:rPr>
                <w:sz w:val="20"/>
                <w:szCs w:val="22"/>
              </w:rPr>
              <w:t>These are papers with a focus on theoretical, conceptual, philosophical, or methodological development and contribution to the field of consulting.</w:t>
            </w:r>
          </w:p>
          <w:p w14:paraId="60234299" w14:textId="1C41C6A1" w:rsidR="00773738" w:rsidRPr="00C27C85" w:rsidRDefault="00773738" w:rsidP="008418CB">
            <w:pPr>
              <w:contextualSpacing/>
              <w:rPr>
                <w:sz w:val="20"/>
                <w:szCs w:val="22"/>
              </w:rPr>
            </w:pPr>
          </w:p>
        </w:tc>
      </w:tr>
      <w:tr w:rsidR="002B580B" w:rsidRPr="00C27C85" w14:paraId="648AEEA9" w14:textId="77777777" w:rsidTr="002F685E">
        <w:tc>
          <w:tcPr>
            <w:tcW w:w="450" w:type="dxa"/>
          </w:tcPr>
          <w:p w14:paraId="3136EA2A" w14:textId="40F2B956" w:rsidR="002B580B" w:rsidRPr="00C27C85" w:rsidRDefault="002B580B" w:rsidP="008418CB">
            <w:pPr>
              <w:contextualSpacing/>
              <w:rPr>
                <w:sz w:val="20"/>
                <w:szCs w:val="22"/>
              </w:rPr>
            </w:pPr>
            <w:r w:rsidRPr="00C27C85">
              <w:rPr>
                <w:sz w:val="20"/>
                <w:szCs w:val="22"/>
              </w:rPr>
              <w:t>2</w:t>
            </w:r>
          </w:p>
        </w:tc>
        <w:tc>
          <w:tcPr>
            <w:tcW w:w="2385" w:type="dxa"/>
          </w:tcPr>
          <w:p w14:paraId="22C22DD8" w14:textId="51D5B796" w:rsidR="002B580B" w:rsidRPr="00C27C85" w:rsidRDefault="002B580B" w:rsidP="008418CB">
            <w:pPr>
              <w:contextualSpacing/>
              <w:rPr>
                <w:b/>
                <w:bCs/>
                <w:sz w:val="20"/>
                <w:szCs w:val="22"/>
              </w:rPr>
            </w:pPr>
            <w:r w:rsidRPr="00C27C85">
              <w:rPr>
                <w:b/>
                <w:bCs/>
                <w:sz w:val="20"/>
                <w:szCs w:val="22"/>
              </w:rPr>
              <w:t>Empirical papers</w:t>
            </w:r>
          </w:p>
        </w:tc>
        <w:tc>
          <w:tcPr>
            <w:tcW w:w="8080" w:type="dxa"/>
          </w:tcPr>
          <w:p w14:paraId="75D587AD" w14:textId="77777777" w:rsidR="002B580B" w:rsidRPr="00C27C85" w:rsidRDefault="002B580B" w:rsidP="008418CB">
            <w:pPr>
              <w:contextualSpacing/>
              <w:rPr>
                <w:sz w:val="20"/>
                <w:szCs w:val="22"/>
              </w:rPr>
            </w:pPr>
            <w:r w:rsidRPr="00C27C85">
              <w:rPr>
                <w:sz w:val="20"/>
                <w:szCs w:val="22"/>
              </w:rPr>
              <w:t>These are fully developed based on empirical analyses with practical and theoretical implications for management consulting.</w:t>
            </w:r>
          </w:p>
          <w:p w14:paraId="0E65701E" w14:textId="6B1DEB37" w:rsidR="00773738" w:rsidRPr="00C27C85" w:rsidRDefault="00773738" w:rsidP="008418CB">
            <w:pPr>
              <w:contextualSpacing/>
              <w:rPr>
                <w:sz w:val="20"/>
                <w:szCs w:val="22"/>
              </w:rPr>
            </w:pPr>
          </w:p>
        </w:tc>
      </w:tr>
      <w:tr w:rsidR="002B580B" w:rsidRPr="00C27C85" w14:paraId="120BE046" w14:textId="77777777" w:rsidTr="002F685E">
        <w:tc>
          <w:tcPr>
            <w:tcW w:w="450" w:type="dxa"/>
          </w:tcPr>
          <w:p w14:paraId="47FA8369" w14:textId="11F372C1" w:rsidR="002B580B" w:rsidRPr="00C27C85" w:rsidRDefault="002B580B" w:rsidP="008418CB">
            <w:pPr>
              <w:contextualSpacing/>
              <w:rPr>
                <w:sz w:val="20"/>
                <w:szCs w:val="22"/>
              </w:rPr>
            </w:pPr>
            <w:r w:rsidRPr="00C27C85">
              <w:rPr>
                <w:sz w:val="20"/>
                <w:szCs w:val="22"/>
              </w:rPr>
              <w:t>3</w:t>
            </w:r>
          </w:p>
        </w:tc>
        <w:tc>
          <w:tcPr>
            <w:tcW w:w="2385" w:type="dxa"/>
          </w:tcPr>
          <w:p w14:paraId="7090408A" w14:textId="57D7BF1C" w:rsidR="002B580B" w:rsidRPr="00C27C85" w:rsidRDefault="002B580B" w:rsidP="008418CB">
            <w:pPr>
              <w:contextualSpacing/>
              <w:rPr>
                <w:b/>
                <w:bCs/>
                <w:sz w:val="20"/>
                <w:szCs w:val="22"/>
              </w:rPr>
            </w:pPr>
            <w:r w:rsidRPr="00C27C85">
              <w:rPr>
                <w:b/>
                <w:bCs/>
                <w:sz w:val="20"/>
                <w:szCs w:val="22"/>
              </w:rPr>
              <w:t>Application papers</w:t>
            </w:r>
          </w:p>
        </w:tc>
        <w:tc>
          <w:tcPr>
            <w:tcW w:w="8080" w:type="dxa"/>
          </w:tcPr>
          <w:p w14:paraId="1FB8F33C" w14:textId="441859F8" w:rsidR="002B580B" w:rsidRPr="00C27C85" w:rsidRDefault="002B580B" w:rsidP="008418CB">
            <w:pPr>
              <w:rPr>
                <w:sz w:val="20"/>
                <w:szCs w:val="22"/>
              </w:rPr>
            </w:pPr>
            <w:r w:rsidRPr="00C27C85">
              <w:rPr>
                <w:sz w:val="20"/>
                <w:szCs w:val="22"/>
              </w:rPr>
              <w:t>These are the results of scholarly work applied to practices or</w:t>
            </w:r>
            <w:r w:rsidR="00186000">
              <w:rPr>
                <w:sz w:val="20"/>
                <w:szCs w:val="22"/>
              </w:rPr>
              <w:t>,</w:t>
            </w:r>
            <w:r w:rsidRPr="00C27C85">
              <w:rPr>
                <w:sz w:val="20"/>
                <w:szCs w:val="22"/>
              </w:rPr>
              <w:t xml:space="preserve"> in reverse, where practitioners demonstrate that their practices were used to enhance </w:t>
            </w:r>
            <w:r w:rsidR="00186000">
              <w:rPr>
                <w:sz w:val="20"/>
                <w:szCs w:val="22"/>
              </w:rPr>
              <w:t>academic</w:t>
            </w:r>
            <w:r w:rsidRPr="00C27C85">
              <w:rPr>
                <w:sz w:val="20"/>
                <w:szCs w:val="22"/>
              </w:rPr>
              <w:t xml:space="preserve"> work. </w:t>
            </w:r>
          </w:p>
          <w:p w14:paraId="6908CF76" w14:textId="1BC2EADD" w:rsidR="00773738" w:rsidRPr="00C27C85" w:rsidRDefault="00773738" w:rsidP="008418CB">
            <w:pPr>
              <w:rPr>
                <w:sz w:val="20"/>
                <w:szCs w:val="22"/>
              </w:rPr>
            </w:pPr>
          </w:p>
        </w:tc>
      </w:tr>
      <w:tr w:rsidR="002B580B" w:rsidRPr="00C27C85" w14:paraId="6539C2E6" w14:textId="77777777" w:rsidTr="002F685E">
        <w:tc>
          <w:tcPr>
            <w:tcW w:w="450" w:type="dxa"/>
          </w:tcPr>
          <w:p w14:paraId="69EC8477" w14:textId="0AE12197" w:rsidR="002B580B" w:rsidRPr="00C27C85" w:rsidRDefault="002B580B" w:rsidP="008418CB">
            <w:pPr>
              <w:contextualSpacing/>
              <w:rPr>
                <w:sz w:val="20"/>
                <w:szCs w:val="22"/>
              </w:rPr>
            </w:pPr>
            <w:r w:rsidRPr="00C27C85">
              <w:rPr>
                <w:sz w:val="20"/>
                <w:szCs w:val="22"/>
              </w:rPr>
              <w:t>4</w:t>
            </w:r>
          </w:p>
        </w:tc>
        <w:tc>
          <w:tcPr>
            <w:tcW w:w="2385" w:type="dxa"/>
          </w:tcPr>
          <w:p w14:paraId="31A2A7F1" w14:textId="5FCE5D60" w:rsidR="002B580B" w:rsidRPr="00C27C85" w:rsidRDefault="002B580B" w:rsidP="008418CB">
            <w:pPr>
              <w:contextualSpacing/>
              <w:rPr>
                <w:b/>
                <w:bCs/>
                <w:sz w:val="20"/>
                <w:szCs w:val="22"/>
              </w:rPr>
            </w:pPr>
            <w:r w:rsidRPr="00C27C85">
              <w:rPr>
                <w:b/>
                <w:bCs/>
                <w:sz w:val="20"/>
                <w:szCs w:val="22"/>
              </w:rPr>
              <w:t>Practice Reflection Papers</w:t>
            </w:r>
          </w:p>
        </w:tc>
        <w:tc>
          <w:tcPr>
            <w:tcW w:w="8080" w:type="dxa"/>
          </w:tcPr>
          <w:p w14:paraId="6B4C820E" w14:textId="77777777" w:rsidR="002B580B" w:rsidRPr="00C27C85" w:rsidRDefault="002B580B" w:rsidP="008418CB">
            <w:pPr>
              <w:rPr>
                <w:sz w:val="20"/>
                <w:szCs w:val="22"/>
              </w:rPr>
            </w:pPr>
            <w:r w:rsidRPr="00C27C85">
              <w:rPr>
                <w:sz w:val="20"/>
                <w:szCs w:val="22"/>
              </w:rPr>
              <w:t>Short, well-developed papers about new trends, observations, policy assessment, implications, and critical topical issues as recorded and interpreted by management practitioners across the societal, public, and private sectors.</w:t>
            </w:r>
          </w:p>
          <w:p w14:paraId="481192CE" w14:textId="1557FB33" w:rsidR="00773738" w:rsidRPr="00C27C85" w:rsidRDefault="00773738" w:rsidP="008418CB">
            <w:pPr>
              <w:rPr>
                <w:sz w:val="20"/>
                <w:szCs w:val="22"/>
              </w:rPr>
            </w:pPr>
          </w:p>
        </w:tc>
      </w:tr>
      <w:tr w:rsidR="002B580B" w:rsidRPr="00C27C85" w14:paraId="62B05B2D" w14:textId="77777777" w:rsidTr="002F685E">
        <w:tc>
          <w:tcPr>
            <w:tcW w:w="450" w:type="dxa"/>
          </w:tcPr>
          <w:p w14:paraId="73113D2E" w14:textId="22A6BB92" w:rsidR="002B580B" w:rsidRPr="00C27C85" w:rsidRDefault="002B580B" w:rsidP="008418CB">
            <w:pPr>
              <w:contextualSpacing/>
              <w:rPr>
                <w:sz w:val="20"/>
                <w:szCs w:val="22"/>
              </w:rPr>
            </w:pPr>
            <w:r w:rsidRPr="00C27C85">
              <w:rPr>
                <w:sz w:val="20"/>
                <w:szCs w:val="22"/>
              </w:rPr>
              <w:t>5</w:t>
            </w:r>
          </w:p>
        </w:tc>
        <w:tc>
          <w:tcPr>
            <w:tcW w:w="2385" w:type="dxa"/>
          </w:tcPr>
          <w:p w14:paraId="7764F436" w14:textId="43B136C4" w:rsidR="002B580B" w:rsidRPr="00C27C85" w:rsidRDefault="002B580B" w:rsidP="008418CB">
            <w:pPr>
              <w:contextualSpacing/>
              <w:rPr>
                <w:b/>
                <w:bCs/>
                <w:sz w:val="20"/>
                <w:szCs w:val="22"/>
              </w:rPr>
            </w:pPr>
            <w:r w:rsidRPr="00C27C85">
              <w:rPr>
                <w:b/>
                <w:bCs/>
                <w:sz w:val="20"/>
                <w:szCs w:val="22"/>
              </w:rPr>
              <w:t>Dissertation reviews</w:t>
            </w:r>
          </w:p>
        </w:tc>
        <w:tc>
          <w:tcPr>
            <w:tcW w:w="8080" w:type="dxa"/>
          </w:tcPr>
          <w:p w14:paraId="652DFCE0" w14:textId="77777777" w:rsidR="002B580B" w:rsidRPr="00C27C85" w:rsidRDefault="002B580B" w:rsidP="008418CB">
            <w:pPr>
              <w:rPr>
                <w:sz w:val="20"/>
                <w:szCs w:val="22"/>
              </w:rPr>
            </w:pPr>
            <w:r w:rsidRPr="00C27C85">
              <w:rPr>
                <w:sz w:val="20"/>
                <w:szCs w:val="22"/>
              </w:rPr>
              <w:t>This allows graduate students to engage and write a short paper about their dissertations focusing on the empirical and theoretical findings and implications for the management consulting field.</w:t>
            </w:r>
          </w:p>
          <w:p w14:paraId="76F9A809" w14:textId="71264B91" w:rsidR="00773738" w:rsidRPr="00C27C85" w:rsidRDefault="00773738" w:rsidP="008418CB">
            <w:pPr>
              <w:rPr>
                <w:sz w:val="20"/>
                <w:szCs w:val="22"/>
              </w:rPr>
            </w:pPr>
          </w:p>
        </w:tc>
      </w:tr>
      <w:tr w:rsidR="002B580B" w:rsidRPr="00C27C85" w14:paraId="711AFD0D" w14:textId="77777777" w:rsidTr="002F685E">
        <w:tc>
          <w:tcPr>
            <w:tcW w:w="450" w:type="dxa"/>
          </w:tcPr>
          <w:p w14:paraId="77D7BBFB" w14:textId="336AC898" w:rsidR="002B580B" w:rsidRPr="00C27C85" w:rsidRDefault="002B580B" w:rsidP="008418CB">
            <w:pPr>
              <w:contextualSpacing/>
              <w:rPr>
                <w:sz w:val="20"/>
                <w:szCs w:val="22"/>
              </w:rPr>
            </w:pPr>
            <w:r w:rsidRPr="00C27C85">
              <w:rPr>
                <w:sz w:val="20"/>
                <w:szCs w:val="22"/>
              </w:rPr>
              <w:t>6</w:t>
            </w:r>
          </w:p>
        </w:tc>
        <w:tc>
          <w:tcPr>
            <w:tcW w:w="2385" w:type="dxa"/>
          </w:tcPr>
          <w:p w14:paraId="4EC944CE" w14:textId="77777777" w:rsidR="002B580B" w:rsidRPr="00C27C85" w:rsidRDefault="002B580B" w:rsidP="002B580B">
            <w:pPr>
              <w:rPr>
                <w:sz w:val="20"/>
                <w:szCs w:val="22"/>
              </w:rPr>
            </w:pPr>
            <w:r w:rsidRPr="00C27C85">
              <w:rPr>
                <w:b/>
                <w:bCs/>
                <w:sz w:val="20"/>
                <w:szCs w:val="22"/>
              </w:rPr>
              <w:t xml:space="preserve">Case studies </w:t>
            </w:r>
          </w:p>
          <w:p w14:paraId="2A53832C" w14:textId="77777777" w:rsidR="002B580B" w:rsidRPr="00C27C85" w:rsidRDefault="002B580B" w:rsidP="008418CB">
            <w:pPr>
              <w:contextualSpacing/>
              <w:rPr>
                <w:b/>
                <w:bCs/>
                <w:sz w:val="20"/>
                <w:szCs w:val="22"/>
              </w:rPr>
            </w:pPr>
          </w:p>
        </w:tc>
        <w:tc>
          <w:tcPr>
            <w:tcW w:w="8080" w:type="dxa"/>
          </w:tcPr>
          <w:p w14:paraId="178208AF" w14:textId="38A25691" w:rsidR="002B580B" w:rsidRPr="00C27C85" w:rsidRDefault="009272C5" w:rsidP="008418CB">
            <w:pPr>
              <w:rPr>
                <w:sz w:val="20"/>
                <w:szCs w:val="22"/>
              </w:rPr>
            </w:pPr>
            <w:r w:rsidRPr="00C27C85">
              <w:rPr>
                <w:sz w:val="20"/>
                <w:szCs w:val="22"/>
              </w:rPr>
              <w:t xml:space="preserve">Case studies </w:t>
            </w:r>
            <w:r w:rsidR="008B7806" w:rsidRPr="00C27C85">
              <w:rPr>
                <w:sz w:val="20"/>
                <w:szCs w:val="22"/>
              </w:rPr>
              <w:t>provide</w:t>
            </w:r>
            <w:r w:rsidRPr="00C27C85">
              <w:rPr>
                <w:sz w:val="20"/>
                <w:szCs w:val="22"/>
              </w:rPr>
              <w:t xml:space="preserve"> </w:t>
            </w:r>
            <w:r w:rsidR="008B7806" w:rsidRPr="00C27C85">
              <w:rPr>
                <w:sz w:val="20"/>
                <w:szCs w:val="22"/>
              </w:rPr>
              <w:t xml:space="preserve">reports based on an in-depth </w:t>
            </w:r>
            <w:r w:rsidR="00186000">
              <w:rPr>
                <w:sz w:val="20"/>
                <w:szCs w:val="22"/>
              </w:rPr>
              <w:t>analysis</w:t>
            </w:r>
            <w:r w:rsidR="008B7806" w:rsidRPr="00C27C85">
              <w:rPr>
                <w:sz w:val="20"/>
                <w:szCs w:val="22"/>
              </w:rPr>
              <w:t xml:space="preserve"> of one organization or an in-depth study using a comparative inquiry of two organizations to generate a conclusion that might become useful to similar organizations in the same industry or sector.</w:t>
            </w:r>
          </w:p>
          <w:p w14:paraId="60DBF38B" w14:textId="1E7F5F91" w:rsidR="003946F0" w:rsidRPr="00C27C85" w:rsidRDefault="003946F0" w:rsidP="008418CB">
            <w:pPr>
              <w:rPr>
                <w:sz w:val="20"/>
                <w:szCs w:val="22"/>
              </w:rPr>
            </w:pPr>
          </w:p>
        </w:tc>
      </w:tr>
      <w:tr w:rsidR="002B580B" w:rsidRPr="00C27C85" w14:paraId="040D8EF0" w14:textId="77777777" w:rsidTr="002F685E">
        <w:tc>
          <w:tcPr>
            <w:tcW w:w="450" w:type="dxa"/>
          </w:tcPr>
          <w:p w14:paraId="4C5AD4D7" w14:textId="173148C2" w:rsidR="002B580B" w:rsidRPr="00C27C85" w:rsidRDefault="002B580B" w:rsidP="008418CB">
            <w:pPr>
              <w:contextualSpacing/>
              <w:rPr>
                <w:sz w:val="20"/>
                <w:szCs w:val="22"/>
              </w:rPr>
            </w:pPr>
            <w:r w:rsidRPr="00C27C85">
              <w:rPr>
                <w:sz w:val="20"/>
                <w:szCs w:val="22"/>
              </w:rPr>
              <w:t>7</w:t>
            </w:r>
          </w:p>
        </w:tc>
        <w:tc>
          <w:tcPr>
            <w:tcW w:w="2385" w:type="dxa"/>
          </w:tcPr>
          <w:p w14:paraId="7EC8808A" w14:textId="77777777" w:rsidR="002B580B" w:rsidRPr="00C27C85" w:rsidRDefault="002B580B" w:rsidP="002B580B">
            <w:pPr>
              <w:rPr>
                <w:sz w:val="20"/>
                <w:szCs w:val="22"/>
              </w:rPr>
            </w:pPr>
            <w:r w:rsidRPr="00C27C85">
              <w:rPr>
                <w:b/>
                <w:bCs/>
                <w:sz w:val="20"/>
                <w:szCs w:val="22"/>
              </w:rPr>
              <w:t xml:space="preserve">Field reports </w:t>
            </w:r>
          </w:p>
          <w:p w14:paraId="53A4218F" w14:textId="77777777" w:rsidR="002B580B" w:rsidRPr="00C27C85" w:rsidRDefault="002B580B" w:rsidP="002B580B">
            <w:pPr>
              <w:rPr>
                <w:b/>
                <w:bCs/>
                <w:sz w:val="20"/>
                <w:szCs w:val="22"/>
              </w:rPr>
            </w:pPr>
          </w:p>
        </w:tc>
        <w:tc>
          <w:tcPr>
            <w:tcW w:w="8080" w:type="dxa"/>
          </w:tcPr>
          <w:p w14:paraId="474B4708" w14:textId="77777777" w:rsidR="002B580B" w:rsidRPr="00C27C85" w:rsidRDefault="00C179EB" w:rsidP="008418CB">
            <w:pPr>
              <w:rPr>
                <w:sz w:val="20"/>
                <w:szCs w:val="22"/>
              </w:rPr>
            </w:pPr>
            <w:r w:rsidRPr="00C27C85">
              <w:rPr>
                <w:sz w:val="20"/>
                <w:szCs w:val="22"/>
              </w:rPr>
              <w:t xml:space="preserve">These are the results of methodological documentation and analyzes of observed phenomena, people, places, events, behaviors, and processes </w:t>
            </w:r>
            <w:r w:rsidR="00E07359" w:rsidRPr="00C27C85">
              <w:rPr>
                <w:sz w:val="20"/>
                <w:szCs w:val="22"/>
              </w:rPr>
              <w:t>to identify solutions for problems of practice.</w:t>
            </w:r>
          </w:p>
          <w:p w14:paraId="5AA8428A" w14:textId="304AF950" w:rsidR="00773738" w:rsidRPr="00C27C85" w:rsidRDefault="00773738" w:rsidP="008418CB">
            <w:pPr>
              <w:rPr>
                <w:sz w:val="20"/>
                <w:szCs w:val="22"/>
              </w:rPr>
            </w:pPr>
          </w:p>
        </w:tc>
      </w:tr>
      <w:tr w:rsidR="002B580B" w:rsidRPr="00C27C85" w14:paraId="07BBD245" w14:textId="77777777" w:rsidTr="002F685E">
        <w:tc>
          <w:tcPr>
            <w:tcW w:w="450" w:type="dxa"/>
          </w:tcPr>
          <w:p w14:paraId="71426965" w14:textId="4B7E6806" w:rsidR="002B580B" w:rsidRPr="00C27C85" w:rsidRDefault="002B580B" w:rsidP="008418CB">
            <w:pPr>
              <w:contextualSpacing/>
              <w:rPr>
                <w:sz w:val="20"/>
                <w:szCs w:val="22"/>
              </w:rPr>
            </w:pPr>
            <w:r w:rsidRPr="00C27C85">
              <w:rPr>
                <w:sz w:val="20"/>
                <w:szCs w:val="22"/>
              </w:rPr>
              <w:t>8</w:t>
            </w:r>
          </w:p>
        </w:tc>
        <w:tc>
          <w:tcPr>
            <w:tcW w:w="2385" w:type="dxa"/>
          </w:tcPr>
          <w:p w14:paraId="1BD24EF1" w14:textId="3786DC88" w:rsidR="002B580B" w:rsidRPr="00C27C85" w:rsidRDefault="00E5511A" w:rsidP="002B580B">
            <w:pPr>
              <w:rPr>
                <w:b/>
                <w:bCs/>
                <w:sz w:val="20"/>
                <w:szCs w:val="22"/>
              </w:rPr>
            </w:pPr>
            <w:r w:rsidRPr="00C27C85">
              <w:rPr>
                <w:b/>
                <w:bCs/>
                <w:sz w:val="20"/>
                <w:szCs w:val="22"/>
              </w:rPr>
              <w:t>Poster Presentations</w:t>
            </w:r>
          </w:p>
        </w:tc>
        <w:tc>
          <w:tcPr>
            <w:tcW w:w="8080" w:type="dxa"/>
          </w:tcPr>
          <w:p w14:paraId="0B74CD5B" w14:textId="77777777" w:rsidR="002B580B" w:rsidRPr="00C27C85" w:rsidRDefault="00E5511A" w:rsidP="008418CB">
            <w:pPr>
              <w:rPr>
                <w:sz w:val="20"/>
                <w:szCs w:val="22"/>
              </w:rPr>
            </w:pPr>
            <w:r w:rsidRPr="00C27C85">
              <w:rPr>
                <w:sz w:val="20"/>
                <w:szCs w:val="22"/>
              </w:rPr>
              <w:t>This allows scholar-practitioners and doctoral students to present their research ideas, conceptual frameworks, research questions, problems of practice, research methodologies, work in progress and study plan, etc.  The goal of the poster session is to provide feedback that helps the authors to further develop their research studies.</w:t>
            </w:r>
          </w:p>
          <w:p w14:paraId="75F60A2C" w14:textId="77777777" w:rsidR="00095497" w:rsidRPr="00C27C85" w:rsidRDefault="00095497" w:rsidP="008418CB">
            <w:pPr>
              <w:rPr>
                <w:color w:val="FF0000"/>
                <w:sz w:val="20"/>
                <w:szCs w:val="22"/>
              </w:rPr>
            </w:pPr>
          </w:p>
          <w:p w14:paraId="64099338" w14:textId="46DFBBD0" w:rsidR="00095497" w:rsidRPr="00174D1D" w:rsidRDefault="00095497" w:rsidP="008418CB">
            <w:pPr>
              <w:rPr>
                <w:color w:val="000000" w:themeColor="text1"/>
                <w:sz w:val="20"/>
                <w:szCs w:val="22"/>
              </w:rPr>
            </w:pPr>
            <w:r w:rsidRPr="00174D1D">
              <w:rPr>
                <w:color w:val="000000" w:themeColor="text1"/>
                <w:sz w:val="20"/>
                <w:szCs w:val="22"/>
              </w:rPr>
              <w:lastRenderedPageBreak/>
              <w:t>This format will require that you submit</w:t>
            </w:r>
            <w:r w:rsidR="00FC4D65">
              <w:rPr>
                <w:color w:val="000000" w:themeColor="text1"/>
                <w:sz w:val="20"/>
                <w:szCs w:val="22"/>
              </w:rPr>
              <w:t>,</w:t>
            </w:r>
            <w:r w:rsidRPr="00174D1D">
              <w:rPr>
                <w:color w:val="000000" w:themeColor="text1"/>
                <w:sz w:val="20"/>
                <w:szCs w:val="22"/>
              </w:rPr>
              <w:t xml:space="preserve"> before December 31</w:t>
            </w:r>
            <w:r w:rsidRPr="00174D1D">
              <w:rPr>
                <w:color w:val="000000" w:themeColor="text1"/>
                <w:sz w:val="20"/>
                <w:szCs w:val="22"/>
                <w:vertAlign w:val="superscript"/>
              </w:rPr>
              <w:t>st</w:t>
            </w:r>
            <w:r w:rsidR="00174D1D">
              <w:rPr>
                <w:color w:val="000000" w:themeColor="text1"/>
                <w:sz w:val="20"/>
                <w:szCs w:val="22"/>
                <w:vertAlign w:val="superscript"/>
              </w:rPr>
              <w:t>,</w:t>
            </w:r>
            <w:r w:rsidRPr="00174D1D">
              <w:rPr>
                <w:color w:val="000000" w:themeColor="text1"/>
                <w:sz w:val="20"/>
                <w:szCs w:val="22"/>
              </w:rPr>
              <w:t xml:space="preserve"> </w:t>
            </w:r>
            <w:r w:rsidR="00174D1D" w:rsidRPr="00174D1D">
              <w:rPr>
                <w:color w:val="000000" w:themeColor="text1"/>
                <w:sz w:val="20"/>
                <w:szCs w:val="22"/>
              </w:rPr>
              <w:t>2022,</w:t>
            </w:r>
            <w:r w:rsidRPr="00174D1D">
              <w:rPr>
                <w:color w:val="000000" w:themeColor="text1"/>
                <w:sz w:val="20"/>
                <w:szCs w:val="22"/>
              </w:rPr>
              <w:t xml:space="preserve"> your proposal directly to MCD Program Chair Dr. Shola Ajiboye. The submission </w:t>
            </w:r>
            <w:r w:rsidR="00174D1D">
              <w:rPr>
                <w:color w:val="000000" w:themeColor="text1"/>
                <w:sz w:val="20"/>
                <w:szCs w:val="22"/>
              </w:rPr>
              <w:t>consists</w:t>
            </w:r>
            <w:r w:rsidRPr="00174D1D">
              <w:rPr>
                <w:color w:val="000000" w:themeColor="text1"/>
                <w:sz w:val="20"/>
                <w:szCs w:val="22"/>
              </w:rPr>
              <w:t xml:space="preserve"> </w:t>
            </w:r>
            <w:r w:rsidR="00174D1D">
              <w:rPr>
                <w:color w:val="000000" w:themeColor="text1"/>
                <w:sz w:val="20"/>
                <w:szCs w:val="22"/>
              </w:rPr>
              <w:t>of</w:t>
            </w:r>
            <w:r w:rsidRPr="00174D1D">
              <w:rPr>
                <w:color w:val="000000" w:themeColor="text1"/>
                <w:sz w:val="20"/>
                <w:szCs w:val="22"/>
              </w:rPr>
              <w:t xml:space="preserve"> an extended abstract (</w:t>
            </w:r>
            <w:r w:rsidR="00174D1D">
              <w:rPr>
                <w:color w:val="000000" w:themeColor="text1"/>
                <w:sz w:val="20"/>
                <w:szCs w:val="22"/>
              </w:rPr>
              <w:t>1.5-pages</w:t>
            </w:r>
            <w:r w:rsidRPr="00174D1D">
              <w:rPr>
                <w:color w:val="000000" w:themeColor="text1"/>
                <w:sz w:val="20"/>
                <w:szCs w:val="22"/>
              </w:rPr>
              <w:t xml:space="preserve"> maximum) formatted in Research Object, Question, Hypothesis, Theoretical Framework, Methodology Used, Results or Expected Results. </w:t>
            </w:r>
          </w:p>
          <w:p w14:paraId="02C87045" w14:textId="53BE6856" w:rsidR="00095497" w:rsidRPr="00174D1D" w:rsidRDefault="00095497" w:rsidP="008418CB">
            <w:pPr>
              <w:rPr>
                <w:color w:val="000000" w:themeColor="text1"/>
                <w:sz w:val="20"/>
                <w:szCs w:val="22"/>
              </w:rPr>
            </w:pPr>
            <w:r w:rsidRPr="00174D1D">
              <w:rPr>
                <w:color w:val="000000" w:themeColor="text1"/>
                <w:sz w:val="20"/>
                <w:szCs w:val="22"/>
              </w:rPr>
              <w:t xml:space="preserve">By sending a submission, you accept to prepare and present </w:t>
            </w:r>
            <w:r w:rsidR="00186000">
              <w:rPr>
                <w:color w:val="000000" w:themeColor="text1"/>
                <w:sz w:val="20"/>
                <w:szCs w:val="22"/>
              </w:rPr>
              <w:t>three</w:t>
            </w:r>
            <w:r w:rsidRPr="00174D1D">
              <w:rPr>
                <w:color w:val="000000" w:themeColor="text1"/>
                <w:sz w:val="20"/>
                <w:szCs w:val="22"/>
              </w:rPr>
              <w:t xml:space="preserve"> slides maximum (in Portrait Mode), 10 minutes maximum per panelist. </w:t>
            </w:r>
          </w:p>
          <w:p w14:paraId="7AF14041" w14:textId="77777777" w:rsidR="00095497" w:rsidRPr="00174D1D" w:rsidRDefault="00095497" w:rsidP="008418CB">
            <w:pPr>
              <w:rPr>
                <w:color w:val="000000" w:themeColor="text1"/>
                <w:sz w:val="20"/>
                <w:szCs w:val="22"/>
              </w:rPr>
            </w:pPr>
          </w:p>
          <w:p w14:paraId="143AEAA3" w14:textId="4AB58289" w:rsidR="00095497" w:rsidRPr="00174D1D" w:rsidRDefault="00095497" w:rsidP="008418CB">
            <w:pPr>
              <w:rPr>
                <w:b/>
                <w:color w:val="000000" w:themeColor="text1"/>
                <w:sz w:val="20"/>
                <w:szCs w:val="22"/>
              </w:rPr>
            </w:pPr>
            <w:r w:rsidRPr="00174D1D">
              <w:rPr>
                <w:b/>
                <w:color w:val="000000" w:themeColor="text1"/>
                <w:sz w:val="20"/>
                <w:szCs w:val="22"/>
              </w:rPr>
              <w:t xml:space="preserve">This poster session will count as a scholarly paper in AOM Program and for the rule of 3 + 3. </w:t>
            </w:r>
          </w:p>
          <w:p w14:paraId="6E2B21C7" w14:textId="2DF0D6FF" w:rsidR="00773738" w:rsidRPr="00C27C85" w:rsidRDefault="00773738" w:rsidP="008418CB">
            <w:pPr>
              <w:rPr>
                <w:sz w:val="20"/>
                <w:szCs w:val="22"/>
              </w:rPr>
            </w:pPr>
          </w:p>
        </w:tc>
      </w:tr>
      <w:tr w:rsidR="00E5511A" w:rsidRPr="00C27C85" w14:paraId="118C344E" w14:textId="77777777" w:rsidTr="002F685E">
        <w:tc>
          <w:tcPr>
            <w:tcW w:w="450" w:type="dxa"/>
          </w:tcPr>
          <w:p w14:paraId="594D33BC" w14:textId="4ABF58E5" w:rsidR="00E5511A" w:rsidRPr="00C27C85" w:rsidRDefault="00E5511A" w:rsidP="008418CB">
            <w:pPr>
              <w:contextualSpacing/>
              <w:rPr>
                <w:sz w:val="20"/>
                <w:szCs w:val="22"/>
              </w:rPr>
            </w:pPr>
            <w:r w:rsidRPr="00C27C85">
              <w:rPr>
                <w:sz w:val="20"/>
                <w:szCs w:val="22"/>
              </w:rPr>
              <w:lastRenderedPageBreak/>
              <w:t>9</w:t>
            </w:r>
          </w:p>
        </w:tc>
        <w:tc>
          <w:tcPr>
            <w:tcW w:w="2385" w:type="dxa"/>
          </w:tcPr>
          <w:p w14:paraId="01C69DA0" w14:textId="42ABCE98" w:rsidR="00E5511A" w:rsidRPr="00C27C85" w:rsidRDefault="00E5511A" w:rsidP="002B580B">
            <w:pPr>
              <w:rPr>
                <w:b/>
                <w:bCs/>
                <w:sz w:val="20"/>
                <w:szCs w:val="22"/>
              </w:rPr>
            </w:pPr>
            <w:r w:rsidRPr="00C27C85">
              <w:rPr>
                <w:b/>
                <w:bCs/>
                <w:sz w:val="20"/>
                <w:szCs w:val="22"/>
              </w:rPr>
              <w:t>Symposia</w:t>
            </w:r>
          </w:p>
        </w:tc>
        <w:tc>
          <w:tcPr>
            <w:tcW w:w="8080" w:type="dxa"/>
          </w:tcPr>
          <w:p w14:paraId="41C6C3CA" w14:textId="77777777" w:rsidR="003D0F4C" w:rsidRPr="00C27C85" w:rsidRDefault="00C63354" w:rsidP="008418CB">
            <w:pPr>
              <w:rPr>
                <w:sz w:val="20"/>
                <w:szCs w:val="22"/>
              </w:rPr>
            </w:pPr>
            <w:r w:rsidRPr="00C27C85">
              <w:rPr>
                <w:sz w:val="20"/>
                <w:szCs w:val="22"/>
              </w:rPr>
              <w:t xml:space="preserve">This allows scholars, practitioners, and industry executives who are experts on a particular topic in management consulting to present and deliver their opinions and viewpoints. </w:t>
            </w:r>
          </w:p>
          <w:p w14:paraId="3B99ACF0" w14:textId="2BE315C4" w:rsidR="00E5511A" w:rsidRPr="00C27C85" w:rsidRDefault="00C63354" w:rsidP="008418CB">
            <w:pPr>
              <w:rPr>
                <w:sz w:val="20"/>
                <w:szCs w:val="22"/>
              </w:rPr>
            </w:pPr>
            <w:r w:rsidRPr="00C27C85">
              <w:rPr>
                <w:sz w:val="20"/>
                <w:szCs w:val="22"/>
              </w:rPr>
              <w:t xml:space="preserve"> </w:t>
            </w:r>
          </w:p>
        </w:tc>
      </w:tr>
    </w:tbl>
    <w:p w14:paraId="32C5FAB9" w14:textId="77777777" w:rsidR="001B2E69" w:rsidRDefault="001B2E69" w:rsidP="001148BF">
      <w:pPr>
        <w:spacing w:line="240" w:lineRule="auto"/>
        <w:rPr>
          <w:b/>
          <w:bCs/>
          <w:sz w:val="22"/>
          <w:szCs w:val="22"/>
        </w:rPr>
      </w:pPr>
    </w:p>
    <w:p w14:paraId="4E436EB0" w14:textId="407A66C9" w:rsidR="009734FC" w:rsidRPr="009734FC" w:rsidRDefault="009734FC" w:rsidP="00583CEC">
      <w:pPr>
        <w:spacing w:line="240" w:lineRule="auto"/>
        <w:jc w:val="center"/>
        <w:rPr>
          <w:b/>
          <w:bCs/>
          <w:sz w:val="22"/>
          <w:szCs w:val="22"/>
        </w:rPr>
      </w:pPr>
      <w:r w:rsidRPr="009734FC">
        <w:rPr>
          <w:b/>
          <w:bCs/>
          <w:sz w:val="22"/>
          <w:szCs w:val="22"/>
        </w:rPr>
        <w:t>Method</w:t>
      </w:r>
      <w:r w:rsidR="00FD72DA">
        <w:rPr>
          <w:b/>
          <w:bCs/>
          <w:sz w:val="22"/>
          <w:szCs w:val="22"/>
        </w:rPr>
        <w:t>ologies</w:t>
      </w:r>
      <w:r>
        <w:rPr>
          <w:b/>
          <w:bCs/>
          <w:sz w:val="22"/>
          <w:szCs w:val="22"/>
        </w:rPr>
        <w:t>:</w:t>
      </w:r>
    </w:p>
    <w:p w14:paraId="404A2D5F" w14:textId="43702F91" w:rsidR="001148BF" w:rsidRDefault="009734FC" w:rsidP="001148BF">
      <w:pPr>
        <w:spacing w:line="240" w:lineRule="auto"/>
        <w:rPr>
          <w:sz w:val="22"/>
          <w:szCs w:val="22"/>
        </w:rPr>
      </w:pPr>
      <w:r>
        <w:rPr>
          <w:sz w:val="22"/>
          <w:szCs w:val="22"/>
        </w:rPr>
        <w:t xml:space="preserve">The MCD is open to different theoretical and methodological </w:t>
      </w:r>
      <w:r w:rsidR="00186000">
        <w:rPr>
          <w:sz w:val="22"/>
          <w:szCs w:val="22"/>
        </w:rPr>
        <w:t>submissions</w:t>
      </w:r>
      <w:r>
        <w:rPr>
          <w:sz w:val="22"/>
          <w:szCs w:val="22"/>
        </w:rPr>
        <w:t xml:space="preserve"> based on quantitative studies, qualitative studies, quantitative-qualitative mixed methods, crit</w:t>
      </w:r>
      <w:r w:rsidR="00596063">
        <w:rPr>
          <w:sz w:val="22"/>
          <w:szCs w:val="22"/>
        </w:rPr>
        <w:t>ical</w:t>
      </w:r>
      <w:r>
        <w:rPr>
          <w:sz w:val="22"/>
          <w:szCs w:val="22"/>
        </w:rPr>
        <w:t xml:space="preserve"> </w:t>
      </w:r>
      <w:r w:rsidR="00596063">
        <w:rPr>
          <w:sz w:val="22"/>
          <w:szCs w:val="22"/>
        </w:rPr>
        <w:t>re</w:t>
      </w:r>
      <w:r>
        <w:rPr>
          <w:sz w:val="22"/>
          <w:szCs w:val="22"/>
        </w:rPr>
        <w:t>views, and</w:t>
      </w:r>
      <w:r w:rsidR="00C179EB">
        <w:rPr>
          <w:sz w:val="22"/>
          <w:szCs w:val="22"/>
        </w:rPr>
        <w:t xml:space="preserve"> </w:t>
      </w:r>
      <w:r w:rsidR="00186000">
        <w:rPr>
          <w:sz w:val="22"/>
          <w:szCs w:val="22"/>
        </w:rPr>
        <w:t>recommendations</w:t>
      </w:r>
      <w:r>
        <w:rPr>
          <w:sz w:val="22"/>
          <w:szCs w:val="22"/>
        </w:rPr>
        <w:t xml:space="preserve"> establishing new positions. </w:t>
      </w:r>
      <w:r w:rsidR="00AC113D">
        <w:rPr>
          <w:sz w:val="22"/>
          <w:szCs w:val="22"/>
        </w:rPr>
        <w:t xml:space="preserve">These </w:t>
      </w:r>
      <w:r w:rsidR="00596063">
        <w:rPr>
          <w:sz w:val="22"/>
          <w:szCs w:val="22"/>
        </w:rPr>
        <w:t xml:space="preserve">methods </w:t>
      </w:r>
      <w:r w:rsidR="00AC113D">
        <w:rPr>
          <w:sz w:val="22"/>
          <w:szCs w:val="22"/>
        </w:rPr>
        <w:t xml:space="preserve">may include </w:t>
      </w:r>
      <w:r w:rsidR="007F2477">
        <w:rPr>
          <w:sz w:val="22"/>
          <w:szCs w:val="22"/>
        </w:rPr>
        <w:t>correlational, descriptive, quasi-experimental, survey-based</w:t>
      </w:r>
      <w:r w:rsidR="00596063">
        <w:rPr>
          <w:sz w:val="22"/>
          <w:szCs w:val="22"/>
        </w:rPr>
        <w:t>,</w:t>
      </w:r>
      <w:r w:rsidR="007F2477">
        <w:rPr>
          <w:sz w:val="22"/>
          <w:szCs w:val="22"/>
        </w:rPr>
        <w:t xml:space="preserve"> or </w:t>
      </w:r>
      <w:r w:rsidR="00596063">
        <w:rPr>
          <w:sz w:val="22"/>
          <w:szCs w:val="22"/>
        </w:rPr>
        <w:t>secondary data studies</w:t>
      </w:r>
      <w:r w:rsidR="007F2477">
        <w:rPr>
          <w:sz w:val="22"/>
          <w:szCs w:val="22"/>
        </w:rPr>
        <w:t xml:space="preserve">. They may also </w:t>
      </w:r>
      <w:r w:rsidR="00186000">
        <w:rPr>
          <w:sz w:val="22"/>
          <w:szCs w:val="22"/>
        </w:rPr>
        <w:t>have</w:t>
      </w:r>
      <w:r w:rsidR="007F2477">
        <w:rPr>
          <w:sz w:val="22"/>
          <w:szCs w:val="22"/>
        </w:rPr>
        <w:t xml:space="preserve"> phenomenological studies, action research, ethnography, case study, organizational or institutional reflective narratives, or studies using grounded theory</w:t>
      </w:r>
      <w:r w:rsidR="00ED416B">
        <w:rPr>
          <w:sz w:val="22"/>
          <w:szCs w:val="22"/>
        </w:rPr>
        <w:t xml:space="preserve"> and other methods</w:t>
      </w:r>
      <w:r w:rsidR="007F2477">
        <w:rPr>
          <w:sz w:val="22"/>
          <w:szCs w:val="22"/>
        </w:rPr>
        <w:t>.</w:t>
      </w:r>
    </w:p>
    <w:p w14:paraId="1A68DDD3" w14:textId="46E6ED53" w:rsidR="008A37D5" w:rsidRPr="009734FC" w:rsidRDefault="008A37D5" w:rsidP="008A37D5">
      <w:pPr>
        <w:spacing w:line="240" w:lineRule="auto"/>
        <w:jc w:val="center"/>
        <w:rPr>
          <w:b/>
          <w:bCs/>
          <w:sz w:val="22"/>
          <w:szCs w:val="22"/>
        </w:rPr>
      </w:pPr>
      <w:r>
        <w:rPr>
          <w:b/>
          <w:bCs/>
          <w:sz w:val="22"/>
          <w:szCs w:val="22"/>
        </w:rPr>
        <w:t>Submission</w:t>
      </w:r>
      <w:r>
        <w:rPr>
          <w:b/>
          <w:bCs/>
          <w:sz w:val="22"/>
          <w:szCs w:val="22"/>
        </w:rPr>
        <w:t xml:space="preserve"> Instructions:</w:t>
      </w:r>
    </w:p>
    <w:p w14:paraId="44129EBA" w14:textId="688EE3A1" w:rsidR="008A37D5" w:rsidRDefault="002D0E7D" w:rsidP="008A37D5">
      <w:pPr>
        <w:spacing w:line="240" w:lineRule="auto"/>
        <w:rPr>
          <w:sz w:val="22"/>
          <w:szCs w:val="22"/>
        </w:rPr>
      </w:pPr>
      <w:r>
        <w:rPr>
          <w:sz w:val="22"/>
          <w:szCs w:val="22"/>
        </w:rPr>
        <w:t xml:space="preserve">The guidelines for all submissions are available at </w:t>
      </w:r>
      <w:hyperlink r:id="rId8" w:history="1">
        <w:r w:rsidRPr="001F5BAE">
          <w:rPr>
            <w:rStyle w:val="Hyperlink"/>
            <w:sz w:val="22"/>
            <w:szCs w:val="22"/>
          </w:rPr>
          <w:t>https://aom.org/events/annual-meeting/submitting/submission-guidelines</w:t>
        </w:r>
      </w:hyperlink>
      <w:r>
        <w:rPr>
          <w:sz w:val="22"/>
          <w:szCs w:val="22"/>
        </w:rPr>
        <w:t>. Please read all instructions carefully before submission.</w:t>
      </w:r>
    </w:p>
    <w:p w14:paraId="37EE178F" w14:textId="6B2B9FE6" w:rsidR="001148BF" w:rsidRPr="009734FC" w:rsidRDefault="00FD72DA" w:rsidP="00C27C85">
      <w:pPr>
        <w:spacing w:line="240" w:lineRule="auto"/>
        <w:jc w:val="center"/>
        <w:rPr>
          <w:b/>
          <w:bCs/>
          <w:sz w:val="22"/>
          <w:szCs w:val="22"/>
        </w:rPr>
      </w:pPr>
      <w:r>
        <w:rPr>
          <w:b/>
          <w:bCs/>
          <w:sz w:val="22"/>
          <w:szCs w:val="22"/>
        </w:rPr>
        <w:t>Submission</w:t>
      </w:r>
      <w:r w:rsidR="009734FC" w:rsidRPr="009734FC">
        <w:rPr>
          <w:b/>
          <w:bCs/>
          <w:sz w:val="22"/>
          <w:szCs w:val="22"/>
        </w:rPr>
        <w:t xml:space="preserve"> Review Method</w:t>
      </w:r>
      <w:r>
        <w:rPr>
          <w:b/>
          <w:bCs/>
          <w:sz w:val="22"/>
          <w:szCs w:val="22"/>
        </w:rPr>
        <w:t>s</w:t>
      </w:r>
      <w:r w:rsidR="009734FC" w:rsidRPr="009734FC">
        <w:rPr>
          <w:b/>
          <w:bCs/>
          <w:sz w:val="22"/>
          <w:szCs w:val="22"/>
        </w:rPr>
        <w:t>:</w:t>
      </w:r>
    </w:p>
    <w:p w14:paraId="1D5BFD11" w14:textId="6ECAF5A9" w:rsidR="00523B1F" w:rsidRDefault="00CE4D47" w:rsidP="00E5511A">
      <w:pPr>
        <w:spacing w:line="240" w:lineRule="auto"/>
        <w:rPr>
          <w:sz w:val="22"/>
          <w:szCs w:val="22"/>
        </w:rPr>
      </w:pPr>
      <w:r>
        <w:rPr>
          <w:sz w:val="22"/>
          <w:szCs w:val="22"/>
        </w:rPr>
        <w:t xml:space="preserve">All </w:t>
      </w:r>
      <w:r w:rsidR="00FD72DA">
        <w:rPr>
          <w:sz w:val="22"/>
          <w:szCs w:val="22"/>
        </w:rPr>
        <w:t>submissions</w:t>
      </w:r>
      <w:r>
        <w:rPr>
          <w:sz w:val="22"/>
          <w:szCs w:val="22"/>
        </w:rPr>
        <w:t xml:space="preserve"> are double-blind reviewed. </w:t>
      </w:r>
      <w:r w:rsidR="00DF676C">
        <w:rPr>
          <w:sz w:val="22"/>
          <w:szCs w:val="22"/>
        </w:rPr>
        <w:t xml:space="preserve">In this case, the author or submitter’s information is unknown to the reviewers, and the reviewers’ information is </w:t>
      </w:r>
      <w:r w:rsidR="00186000">
        <w:rPr>
          <w:sz w:val="22"/>
          <w:szCs w:val="22"/>
        </w:rPr>
        <w:t>anonymous</w:t>
      </w:r>
      <w:r w:rsidR="00DF676C">
        <w:rPr>
          <w:sz w:val="22"/>
          <w:szCs w:val="22"/>
        </w:rPr>
        <w:t xml:space="preserve"> to the author or submitter. </w:t>
      </w:r>
      <w:r w:rsidR="00523B1F">
        <w:rPr>
          <w:sz w:val="22"/>
          <w:szCs w:val="22"/>
        </w:rPr>
        <w:t xml:space="preserve">To ensure a fair assessment of all submissions, </w:t>
      </w:r>
      <w:r w:rsidR="00BF6BEA">
        <w:rPr>
          <w:sz w:val="22"/>
          <w:szCs w:val="22"/>
        </w:rPr>
        <w:t xml:space="preserve">three sets of reviewers will be recruited: </w:t>
      </w:r>
      <w:r w:rsidR="00E5511A">
        <w:rPr>
          <w:sz w:val="22"/>
          <w:szCs w:val="22"/>
        </w:rPr>
        <w:t>academics</w:t>
      </w:r>
      <w:r w:rsidR="00BF6BEA">
        <w:rPr>
          <w:sz w:val="22"/>
          <w:szCs w:val="22"/>
        </w:rPr>
        <w:t xml:space="preserve">, </w:t>
      </w:r>
      <w:r w:rsidR="00E5511A">
        <w:rPr>
          <w:sz w:val="22"/>
          <w:szCs w:val="22"/>
        </w:rPr>
        <w:t>practitioners</w:t>
      </w:r>
      <w:r w:rsidR="00BF6BEA">
        <w:rPr>
          <w:sz w:val="22"/>
          <w:szCs w:val="22"/>
        </w:rPr>
        <w:t>, and</w:t>
      </w:r>
      <w:r w:rsidR="00E5511A">
        <w:rPr>
          <w:sz w:val="22"/>
          <w:szCs w:val="22"/>
        </w:rPr>
        <w:t xml:space="preserve"> industry executives</w:t>
      </w:r>
      <w:r w:rsidR="00523B1F">
        <w:rPr>
          <w:sz w:val="22"/>
          <w:szCs w:val="22"/>
        </w:rPr>
        <w:t xml:space="preserve">. These reviewers will review submissions based on the categories they belong to.  </w:t>
      </w:r>
      <w:r w:rsidR="00BF6BEA">
        <w:rPr>
          <w:sz w:val="22"/>
          <w:szCs w:val="22"/>
        </w:rPr>
        <w:t xml:space="preserve"> </w:t>
      </w:r>
      <w:r w:rsidR="00E5511A">
        <w:rPr>
          <w:sz w:val="22"/>
          <w:szCs w:val="22"/>
        </w:rPr>
        <w:t xml:space="preserve"> </w:t>
      </w:r>
    </w:p>
    <w:p w14:paraId="266F1E66" w14:textId="2B6ECB1C" w:rsidR="00386FCE" w:rsidRDefault="00386FCE" w:rsidP="00C27C85">
      <w:pPr>
        <w:spacing w:line="240" w:lineRule="auto"/>
        <w:jc w:val="center"/>
        <w:rPr>
          <w:sz w:val="22"/>
          <w:szCs w:val="22"/>
        </w:rPr>
      </w:pPr>
      <w:r w:rsidRPr="00386FCE">
        <w:rPr>
          <w:b/>
          <w:bCs/>
          <w:sz w:val="22"/>
          <w:szCs w:val="22"/>
        </w:rPr>
        <w:t>Submission Contacts</w:t>
      </w:r>
      <w:r>
        <w:rPr>
          <w:sz w:val="22"/>
          <w:szCs w:val="22"/>
        </w:rPr>
        <w:t>:</w:t>
      </w:r>
    </w:p>
    <w:p w14:paraId="598B786B" w14:textId="41E4628F" w:rsidR="00E5511A" w:rsidRDefault="00E5511A" w:rsidP="00E5511A">
      <w:pPr>
        <w:spacing w:line="240" w:lineRule="auto"/>
        <w:rPr>
          <w:color w:val="000000" w:themeColor="text1"/>
          <w:sz w:val="22"/>
          <w:szCs w:val="22"/>
        </w:rPr>
      </w:pPr>
      <w:r w:rsidRPr="00523B1F">
        <w:rPr>
          <w:color w:val="000000" w:themeColor="text1"/>
          <w:sz w:val="22"/>
          <w:szCs w:val="22"/>
        </w:rPr>
        <w:t>Contact the</w:t>
      </w:r>
      <w:r w:rsidR="00C27C85">
        <w:rPr>
          <w:color w:val="000000" w:themeColor="text1"/>
          <w:sz w:val="22"/>
          <w:szCs w:val="22"/>
        </w:rPr>
        <w:t xml:space="preserve"> MCD</w:t>
      </w:r>
      <w:r w:rsidRPr="00523B1F">
        <w:rPr>
          <w:color w:val="000000" w:themeColor="text1"/>
          <w:sz w:val="22"/>
          <w:szCs w:val="22"/>
        </w:rPr>
        <w:t xml:space="preserve"> Program </w:t>
      </w:r>
      <w:r w:rsidR="00523B1F" w:rsidRPr="00523B1F">
        <w:rPr>
          <w:color w:val="000000" w:themeColor="text1"/>
          <w:sz w:val="22"/>
          <w:szCs w:val="22"/>
        </w:rPr>
        <w:t>C</w:t>
      </w:r>
      <w:r w:rsidRPr="00523B1F">
        <w:rPr>
          <w:color w:val="000000" w:themeColor="text1"/>
          <w:sz w:val="22"/>
          <w:szCs w:val="22"/>
        </w:rPr>
        <w:t>hair</w:t>
      </w:r>
      <w:r w:rsidR="00523B1F">
        <w:rPr>
          <w:color w:val="000000" w:themeColor="text1"/>
          <w:sz w:val="22"/>
          <w:szCs w:val="22"/>
        </w:rPr>
        <w:t xml:space="preserve">, </w:t>
      </w:r>
      <w:r w:rsidR="00C27C85">
        <w:rPr>
          <w:color w:val="000000" w:themeColor="text1"/>
          <w:sz w:val="22"/>
          <w:szCs w:val="22"/>
        </w:rPr>
        <w:t xml:space="preserve">Dr. </w:t>
      </w:r>
      <w:r w:rsidR="00523B1F">
        <w:rPr>
          <w:color w:val="000000" w:themeColor="text1"/>
          <w:sz w:val="22"/>
          <w:szCs w:val="22"/>
        </w:rPr>
        <w:t>Shola Ajiboye</w:t>
      </w:r>
      <w:r w:rsidR="00583CEC">
        <w:rPr>
          <w:color w:val="000000" w:themeColor="text1"/>
          <w:sz w:val="22"/>
          <w:szCs w:val="22"/>
        </w:rPr>
        <w:t>,</w:t>
      </w:r>
      <w:r w:rsidRPr="00523B1F">
        <w:rPr>
          <w:color w:val="000000" w:themeColor="text1"/>
          <w:sz w:val="22"/>
          <w:szCs w:val="22"/>
        </w:rPr>
        <w:t xml:space="preserve"> </w:t>
      </w:r>
      <w:r w:rsidR="00523B1F">
        <w:rPr>
          <w:color w:val="000000" w:themeColor="text1"/>
          <w:sz w:val="22"/>
          <w:szCs w:val="22"/>
        </w:rPr>
        <w:t xml:space="preserve">at </w:t>
      </w:r>
      <w:hyperlink r:id="rId9" w:history="1">
        <w:r w:rsidR="005511E5" w:rsidRPr="0031778A">
          <w:rPr>
            <w:rStyle w:val="Hyperlink"/>
            <w:sz w:val="22"/>
            <w:szCs w:val="22"/>
          </w:rPr>
          <w:t>shola.ajiboye@case.edu</w:t>
        </w:r>
      </w:hyperlink>
      <w:r w:rsidR="00523B1F">
        <w:rPr>
          <w:color w:val="000000" w:themeColor="text1"/>
          <w:sz w:val="22"/>
          <w:szCs w:val="22"/>
        </w:rPr>
        <w:t xml:space="preserve"> </w:t>
      </w:r>
      <w:r w:rsidRPr="00523B1F">
        <w:rPr>
          <w:color w:val="000000" w:themeColor="text1"/>
          <w:sz w:val="22"/>
          <w:szCs w:val="22"/>
        </w:rPr>
        <w:t xml:space="preserve">for </w:t>
      </w:r>
      <w:r w:rsidR="00523B1F" w:rsidRPr="00523B1F">
        <w:rPr>
          <w:color w:val="000000" w:themeColor="text1"/>
          <w:sz w:val="22"/>
          <w:szCs w:val="22"/>
        </w:rPr>
        <w:t xml:space="preserve">all </w:t>
      </w:r>
      <w:r w:rsidR="00386FCE">
        <w:rPr>
          <w:color w:val="000000" w:themeColor="text1"/>
          <w:sz w:val="22"/>
          <w:szCs w:val="22"/>
        </w:rPr>
        <w:t xml:space="preserve">inquiries on </w:t>
      </w:r>
      <w:r w:rsidR="00523B1F" w:rsidRPr="00523B1F">
        <w:rPr>
          <w:color w:val="000000" w:themeColor="text1"/>
          <w:sz w:val="22"/>
          <w:szCs w:val="22"/>
        </w:rPr>
        <w:t xml:space="preserve">submissions regarding </w:t>
      </w:r>
      <w:r w:rsidR="00523B1F" w:rsidRPr="00D770AB">
        <w:rPr>
          <w:color w:val="000000" w:themeColor="text1"/>
          <w:sz w:val="22"/>
          <w:szCs w:val="22"/>
        </w:rPr>
        <w:t xml:space="preserve">items 1 to </w:t>
      </w:r>
      <w:r w:rsidR="00095497" w:rsidRPr="00D770AB">
        <w:rPr>
          <w:color w:val="000000" w:themeColor="text1"/>
          <w:sz w:val="22"/>
          <w:szCs w:val="22"/>
        </w:rPr>
        <w:t>9</w:t>
      </w:r>
      <w:r w:rsidR="00523B1F" w:rsidRPr="00D770AB">
        <w:rPr>
          <w:color w:val="000000" w:themeColor="text1"/>
          <w:sz w:val="22"/>
          <w:szCs w:val="22"/>
        </w:rPr>
        <w:t xml:space="preserve"> </w:t>
      </w:r>
      <w:r w:rsidR="00523B1F" w:rsidRPr="00523B1F">
        <w:rPr>
          <w:color w:val="000000" w:themeColor="text1"/>
          <w:sz w:val="22"/>
          <w:szCs w:val="22"/>
        </w:rPr>
        <w:t>in the table.</w:t>
      </w:r>
      <w:r w:rsidRPr="00523B1F">
        <w:rPr>
          <w:color w:val="000000" w:themeColor="text1"/>
          <w:sz w:val="22"/>
          <w:szCs w:val="22"/>
        </w:rPr>
        <w:t xml:space="preserve"> </w:t>
      </w:r>
    </w:p>
    <w:p w14:paraId="501DB12D" w14:textId="22767662" w:rsidR="00386FCE" w:rsidRPr="00386FCE" w:rsidRDefault="00386FCE" w:rsidP="00C27C85">
      <w:pPr>
        <w:spacing w:line="240" w:lineRule="auto"/>
        <w:jc w:val="center"/>
        <w:rPr>
          <w:b/>
          <w:bCs/>
          <w:color w:val="000000" w:themeColor="text1"/>
          <w:sz w:val="22"/>
          <w:szCs w:val="22"/>
        </w:rPr>
      </w:pPr>
      <w:r w:rsidRPr="00386FCE">
        <w:rPr>
          <w:b/>
          <w:bCs/>
          <w:color w:val="000000"/>
          <w:sz w:val="22"/>
          <w:szCs w:val="22"/>
          <w:shd w:val="clear" w:color="auto" w:fill="FFFFFF"/>
        </w:rPr>
        <w:t>Important date and deadline:</w:t>
      </w:r>
    </w:p>
    <w:p w14:paraId="3EB8FF72" w14:textId="0293FEEC" w:rsidR="003B07AB" w:rsidRDefault="003B07AB" w:rsidP="00C27C85">
      <w:pPr>
        <w:spacing w:line="240" w:lineRule="auto"/>
        <w:contextualSpacing/>
        <w:jc w:val="center"/>
        <w:rPr>
          <w:sz w:val="22"/>
          <w:szCs w:val="22"/>
        </w:rPr>
      </w:pPr>
      <w:r w:rsidRPr="00F50EB1">
        <w:rPr>
          <w:sz w:val="22"/>
          <w:szCs w:val="22"/>
        </w:rPr>
        <w:t xml:space="preserve">The deadline for submission is </w:t>
      </w:r>
      <w:r w:rsidR="00FD72DA">
        <w:rPr>
          <w:sz w:val="22"/>
          <w:szCs w:val="22"/>
        </w:rPr>
        <w:t>January</w:t>
      </w:r>
      <w:r w:rsidR="00BA7508">
        <w:rPr>
          <w:sz w:val="22"/>
          <w:szCs w:val="22"/>
        </w:rPr>
        <w:t xml:space="preserve"> </w:t>
      </w:r>
      <w:r w:rsidR="00FD72DA">
        <w:rPr>
          <w:sz w:val="22"/>
          <w:szCs w:val="22"/>
        </w:rPr>
        <w:t>10</w:t>
      </w:r>
      <w:r w:rsidR="00FD72DA" w:rsidRPr="00BA7508">
        <w:rPr>
          <w:sz w:val="22"/>
          <w:szCs w:val="22"/>
          <w:vertAlign w:val="superscript"/>
        </w:rPr>
        <w:t>th</w:t>
      </w:r>
      <w:r w:rsidR="00BA7508">
        <w:rPr>
          <w:sz w:val="22"/>
          <w:szCs w:val="22"/>
        </w:rPr>
        <w:t xml:space="preserve">, </w:t>
      </w:r>
      <w:r w:rsidRPr="00F50EB1">
        <w:rPr>
          <w:rStyle w:val="Strong"/>
          <w:sz w:val="22"/>
          <w:szCs w:val="22"/>
        </w:rPr>
        <w:t>20</w:t>
      </w:r>
      <w:r>
        <w:rPr>
          <w:rStyle w:val="Strong"/>
          <w:sz w:val="22"/>
          <w:szCs w:val="22"/>
        </w:rPr>
        <w:t>23</w:t>
      </w:r>
      <w:r w:rsidR="00186000">
        <w:rPr>
          <w:rStyle w:val="Strong"/>
          <w:sz w:val="22"/>
          <w:szCs w:val="22"/>
        </w:rPr>
        <w:t>,</w:t>
      </w:r>
      <w:r w:rsidRPr="00F50EB1">
        <w:rPr>
          <w:rStyle w:val="Strong"/>
          <w:sz w:val="22"/>
          <w:szCs w:val="22"/>
        </w:rPr>
        <w:t xml:space="preserve"> at </w:t>
      </w:r>
      <w:r>
        <w:rPr>
          <w:rStyle w:val="Strong"/>
          <w:sz w:val="22"/>
          <w:szCs w:val="22"/>
        </w:rPr>
        <w:t>17:00 (</w:t>
      </w:r>
      <w:r w:rsidR="00186000">
        <w:rPr>
          <w:rStyle w:val="Strong"/>
          <w:sz w:val="22"/>
          <w:szCs w:val="22"/>
        </w:rPr>
        <w:t>5 PM</w:t>
      </w:r>
      <w:r>
        <w:rPr>
          <w:rStyle w:val="Strong"/>
          <w:sz w:val="22"/>
          <w:szCs w:val="22"/>
        </w:rPr>
        <w:t>)</w:t>
      </w:r>
      <w:r w:rsidRPr="00F50EB1">
        <w:rPr>
          <w:rStyle w:val="Strong"/>
          <w:sz w:val="22"/>
          <w:szCs w:val="22"/>
        </w:rPr>
        <w:t xml:space="preserve"> ET (NY time)</w:t>
      </w:r>
      <w:r w:rsidRPr="00F50EB1">
        <w:rPr>
          <w:sz w:val="22"/>
          <w:szCs w:val="22"/>
        </w:rPr>
        <w:t xml:space="preserve">. Submissions should be made online at </w:t>
      </w:r>
      <w:hyperlink r:id="rId10" w:history="1">
        <w:r w:rsidRPr="00F50EB1">
          <w:rPr>
            <w:rStyle w:val="Hyperlink"/>
            <w:sz w:val="22"/>
            <w:szCs w:val="22"/>
          </w:rPr>
          <w:t>https://aom.org/events/annual-meeting/submitting/submission-process</w:t>
        </w:r>
      </w:hyperlink>
      <w:r w:rsidRPr="00F50EB1">
        <w:rPr>
          <w:sz w:val="22"/>
          <w:szCs w:val="22"/>
        </w:rPr>
        <w:t xml:space="preserve"> (open for submissions from early December 202</w:t>
      </w:r>
      <w:r>
        <w:rPr>
          <w:sz w:val="22"/>
          <w:szCs w:val="22"/>
        </w:rPr>
        <w:t>2</w:t>
      </w:r>
      <w:r w:rsidRPr="00F50EB1">
        <w:rPr>
          <w:sz w:val="22"/>
          <w:szCs w:val="22"/>
        </w:rPr>
        <w:t>). Early submissions are encouraged.</w:t>
      </w:r>
    </w:p>
    <w:p w14:paraId="5A2C9B18" w14:textId="77777777" w:rsidR="003B07AB" w:rsidRPr="00F50EB1" w:rsidRDefault="003B07AB" w:rsidP="003B07AB">
      <w:pPr>
        <w:spacing w:line="240" w:lineRule="auto"/>
        <w:contextualSpacing/>
        <w:rPr>
          <w:sz w:val="22"/>
          <w:szCs w:val="22"/>
        </w:rPr>
      </w:pPr>
    </w:p>
    <w:p w14:paraId="34628A01" w14:textId="292D53CE" w:rsidR="009734FC" w:rsidRPr="00C27C85" w:rsidRDefault="003B07AB" w:rsidP="00C27C85">
      <w:pPr>
        <w:spacing w:line="240" w:lineRule="auto"/>
        <w:contextualSpacing/>
        <w:jc w:val="center"/>
        <w:rPr>
          <w:b/>
          <w:sz w:val="22"/>
          <w:szCs w:val="22"/>
        </w:rPr>
      </w:pPr>
      <w:r w:rsidRPr="00C27C85">
        <w:rPr>
          <w:b/>
          <w:sz w:val="22"/>
          <w:szCs w:val="22"/>
        </w:rPr>
        <w:t>Please note that the “Rule of 3” applies to paper submissions. Therefore, no one can submit or be a part of more than 3 paper submissions</w:t>
      </w:r>
      <w:r w:rsidR="00945255" w:rsidRPr="00C27C85">
        <w:rPr>
          <w:b/>
          <w:sz w:val="22"/>
          <w:szCs w:val="22"/>
        </w:rPr>
        <w:t>.</w:t>
      </w:r>
    </w:p>
    <w:p w14:paraId="46C879C5" w14:textId="77777777" w:rsidR="00D43944" w:rsidRDefault="00D43944" w:rsidP="008418CB">
      <w:pPr>
        <w:spacing w:line="240" w:lineRule="auto"/>
        <w:contextualSpacing/>
        <w:rPr>
          <w:sz w:val="22"/>
          <w:szCs w:val="22"/>
        </w:rPr>
      </w:pPr>
    </w:p>
    <w:sectPr w:rsidR="00D43944" w:rsidSect="00C27C8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9E91" w14:textId="77777777" w:rsidR="00A911F6" w:rsidRDefault="00A911F6" w:rsidP="00BB2777">
      <w:pPr>
        <w:spacing w:after="0" w:line="240" w:lineRule="auto"/>
      </w:pPr>
      <w:r>
        <w:separator/>
      </w:r>
    </w:p>
  </w:endnote>
  <w:endnote w:type="continuationSeparator" w:id="0">
    <w:p w14:paraId="007C8BC2" w14:textId="77777777" w:rsidR="00A911F6" w:rsidRDefault="00A911F6" w:rsidP="00BB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39AF" w14:textId="77777777" w:rsidR="00BB2777" w:rsidRDefault="00BB2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F47E" w14:textId="77777777" w:rsidR="00BB2777" w:rsidRDefault="00BB2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34BA" w14:textId="77777777" w:rsidR="00BB2777" w:rsidRDefault="00BB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B8AB" w14:textId="77777777" w:rsidR="00A911F6" w:rsidRDefault="00A911F6" w:rsidP="00BB2777">
      <w:pPr>
        <w:spacing w:after="0" w:line="240" w:lineRule="auto"/>
      </w:pPr>
      <w:r>
        <w:separator/>
      </w:r>
    </w:p>
  </w:footnote>
  <w:footnote w:type="continuationSeparator" w:id="0">
    <w:p w14:paraId="15A5A1CA" w14:textId="77777777" w:rsidR="00A911F6" w:rsidRDefault="00A911F6" w:rsidP="00BB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3143" w14:textId="3E9CE9E8" w:rsidR="00BB2777" w:rsidRDefault="00000000">
    <w:pPr>
      <w:pStyle w:val="Header"/>
    </w:pPr>
    <w:r>
      <w:rPr>
        <w:noProof/>
      </w:rPr>
      <w:pict w14:anchorId="425B2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95.1pt;height:66.2pt;rotation:315;z-index:-251655168;mso-position-horizontal:center;mso-position-horizontal-relative:margin;mso-position-vertical:center;mso-position-vertical-relative:margin" o:allowincell="f" fillcolor="silver" stroked="f">
          <v:fill opacity=".5"/>
          <v:textpath style="font-family:&quot;Times New Roman&quot;;font-size:1pt" string="DRAFT - DO NOT SHAR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4599" w14:textId="6E5EAC55" w:rsidR="00BB2777" w:rsidRDefault="00BB2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0F8D" w14:textId="593FD7F0" w:rsidR="00BB2777" w:rsidRDefault="00000000">
    <w:pPr>
      <w:pStyle w:val="Header"/>
    </w:pPr>
    <w:r>
      <w:rPr>
        <w:noProof/>
      </w:rPr>
      <w:pict w14:anchorId="43CE3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695.1pt;height:66.2pt;rotation:315;z-index:-251657216;mso-position-horizontal:center;mso-position-horizontal-relative:margin;mso-position-vertical:center;mso-position-vertical-relative:margin" o:allowincell="f" fillcolor="silver" stroked="f">
          <v:fill opacity=".5"/>
          <v:textpath style="font-family:&quot;Times New Roman&quot;;font-size:1pt" string="DRAFT - DO NOT SHAR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D77"/>
    <w:multiLevelType w:val="hybridMultilevel"/>
    <w:tmpl w:val="E286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8638F"/>
    <w:multiLevelType w:val="hybridMultilevel"/>
    <w:tmpl w:val="AFE6C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E1408"/>
    <w:multiLevelType w:val="hybridMultilevel"/>
    <w:tmpl w:val="7178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70441"/>
    <w:multiLevelType w:val="hybridMultilevel"/>
    <w:tmpl w:val="C7E6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44255"/>
    <w:multiLevelType w:val="hybridMultilevel"/>
    <w:tmpl w:val="D2C0CCD6"/>
    <w:lvl w:ilvl="0" w:tplc="E29ABB70">
      <w:start w:val="1"/>
      <w:numFmt w:val="decimal"/>
      <w:lvlText w:val="%1."/>
      <w:lvlJc w:val="left"/>
      <w:pPr>
        <w:tabs>
          <w:tab w:val="num" w:pos="720"/>
        </w:tabs>
        <w:ind w:left="720" w:hanging="360"/>
      </w:pPr>
    </w:lvl>
    <w:lvl w:ilvl="1" w:tplc="6A4A04F4" w:tentative="1">
      <w:start w:val="1"/>
      <w:numFmt w:val="decimal"/>
      <w:lvlText w:val="%2."/>
      <w:lvlJc w:val="left"/>
      <w:pPr>
        <w:tabs>
          <w:tab w:val="num" w:pos="1440"/>
        </w:tabs>
        <w:ind w:left="1440" w:hanging="360"/>
      </w:pPr>
    </w:lvl>
    <w:lvl w:ilvl="2" w:tplc="82A6BF3A" w:tentative="1">
      <w:start w:val="1"/>
      <w:numFmt w:val="decimal"/>
      <w:lvlText w:val="%3."/>
      <w:lvlJc w:val="left"/>
      <w:pPr>
        <w:tabs>
          <w:tab w:val="num" w:pos="2160"/>
        </w:tabs>
        <w:ind w:left="2160" w:hanging="360"/>
      </w:pPr>
    </w:lvl>
    <w:lvl w:ilvl="3" w:tplc="883ABD7E" w:tentative="1">
      <w:start w:val="1"/>
      <w:numFmt w:val="decimal"/>
      <w:lvlText w:val="%4."/>
      <w:lvlJc w:val="left"/>
      <w:pPr>
        <w:tabs>
          <w:tab w:val="num" w:pos="2880"/>
        </w:tabs>
        <w:ind w:left="2880" w:hanging="360"/>
      </w:pPr>
    </w:lvl>
    <w:lvl w:ilvl="4" w:tplc="41642ADE" w:tentative="1">
      <w:start w:val="1"/>
      <w:numFmt w:val="decimal"/>
      <w:lvlText w:val="%5."/>
      <w:lvlJc w:val="left"/>
      <w:pPr>
        <w:tabs>
          <w:tab w:val="num" w:pos="3600"/>
        </w:tabs>
        <w:ind w:left="3600" w:hanging="360"/>
      </w:pPr>
    </w:lvl>
    <w:lvl w:ilvl="5" w:tplc="FABA4162" w:tentative="1">
      <w:start w:val="1"/>
      <w:numFmt w:val="decimal"/>
      <w:lvlText w:val="%6."/>
      <w:lvlJc w:val="left"/>
      <w:pPr>
        <w:tabs>
          <w:tab w:val="num" w:pos="4320"/>
        </w:tabs>
        <w:ind w:left="4320" w:hanging="360"/>
      </w:pPr>
    </w:lvl>
    <w:lvl w:ilvl="6" w:tplc="C7A80ACA" w:tentative="1">
      <w:start w:val="1"/>
      <w:numFmt w:val="decimal"/>
      <w:lvlText w:val="%7."/>
      <w:lvlJc w:val="left"/>
      <w:pPr>
        <w:tabs>
          <w:tab w:val="num" w:pos="5040"/>
        </w:tabs>
        <w:ind w:left="5040" w:hanging="360"/>
      </w:pPr>
    </w:lvl>
    <w:lvl w:ilvl="7" w:tplc="2884CDCC" w:tentative="1">
      <w:start w:val="1"/>
      <w:numFmt w:val="decimal"/>
      <w:lvlText w:val="%8."/>
      <w:lvlJc w:val="left"/>
      <w:pPr>
        <w:tabs>
          <w:tab w:val="num" w:pos="5760"/>
        </w:tabs>
        <w:ind w:left="5760" w:hanging="360"/>
      </w:pPr>
    </w:lvl>
    <w:lvl w:ilvl="8" w:tplc="85C2DD26" w:tentative="1">
      <w:start w:val="1"/>
      <w:numFmt w:val="decimal"/>
      <w:lvlText w:val="%9."/>
      <w:lvlJc w:val="left"/>
      <w:pPr>
        <w:tabs>
          <w:tab w:val="num" w:pos="6480"/>
        </w:tabs>
        <w:ind w:left="6480" w:hanging="360"/>
      </w:pPr>
    </w:lvl>
  </w:abstractNum>
  <w:num w:numId="1" w16cid:durableId="1181165965">
    <w:abstractNumId w:val="2"/>
  </w:num>
  <w:num w:numId="2" w16cid:durableId="2122188741">
    <w:abstractNumId w:val="3"/>
  </w:num>
  <w:num w:numId="3" w16cid:durableId="1159691306">
    <w:abstractNumId w:val="2"/>
  </w:num>
  <w:num w:numId="4" w16cid:durableId="1088888429">
    <w:abstractNumId w:val="1"/>
  </w:num>
  <w:num w:numId="5" w16cid:durableId="1650286851">
    <w:abstractNumId w:val="0"/>
  </w:num>
  <w:num w:numId="6" w16cid:durableId="1382094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77C"/>
    <w:rsid w:val="00003CE0"/>
    <w:rsid w:val="000140A4"/>
    <w:rsid w:val="000231F8"/>
    <w:rsid w:val="0002671B"/>
    <w:rsid w:val="00045F34"/>
    <w:rsid w:val="00046C5A"/>
    <w:rsid w:val="00051FC2"/>
    <w:rsid w:val="00082D8A"/>
    <w:rsid w:val="0009007A"/>
    <w:rsid w:val="00091528"/>
    <w:rsid w:val="00095497"/>
    <w:rsid w:val="000A176F"/>
    <w:rsid w:val="000F5E66"/>
    <w:rsid w:val="001148BF"/>
    <w:rsid w:val="001233FE"/>
    <w:rsid w:val="00174D1D"/>
    <w:rsid w:val="00186000"/>
    <w:rsid w:val="001B2396"/>
    <w:rsid w:val="001B2E69"/>
    <w:rsid w:val="001B5A73"/>
    <w:rsid w:val="001D432B"/>
    <w:rsid w:val="001E4884"/>
    <w:rsid w:val="001F58C9"/>
    <w:rsid w:val="00245522"/>
    <w:rsid w:val="002729FF"/>
    <w:rsid w:val="00281699"/>
    <w:rsid w:val="00297588"/>
    <w:rsid w:val="002B580B"/>
    <w:rsid w:val="002D0E7D"/>
    <w:rsid w:val="002F55C3"/>
    <w:rsid w:val="002F685E"/>
    <w:rsid w:val="003127EB"/>
    <w:rsid w:val="00330BAF"/>
    <w:rsid w:val="00335008"/>
    <w:rsid w:val="00341C1E"/>
    <w:rsid w:val="0034271D"/>
    <w:rsid w:val="00361F02"/>
    <w:rsid w:val="00380109"/>
    <w:rsid w:val="00386FCE"/>
    <w:rsid w:val="003946F0"/>
    <w:rsid w:val="003A402B"/>
    <w:rsid w:val="003B009D"/>
    <w:rsid w:val="003B07AB"/>
    <w:rsid w:val="003C2770"/>
    <w:rsid w:val="003D0F4C"/>
    <w:rsid w:val="003E4382"/>
    <w:rsid w:val="00452422"/>
    <w:rsid w:val="00453569"/>
    <w:rsid w:val="00480292"/>
    <w:rsid w:val="004931CD"/>
    <w:rsid w:val="004A1830"/>
    <w:rsid w:val="004C730D"/>
    <w:rsid w:val="00520207"/>
    <w:rsid w:val="00523B1F"/>
    <w:rsid w:val="00524633"/>
    <w:rsid w:val="005511E5"/>
    <w:rsid w:val="00556AF7"/>
    <w:rsid w:val="00577250"/>
    <w:rsid w:val="00583B02"/>
    <w:rsid w:val="00583CEC"/>
    <w:rsid w:val="00586B80"/>
    <w:rsid w:val="00596063"/>
    <w:rsid w:val="005C6D7C"/>
    <w:rsid w:val="005D20C1"/>
    <w:rsid w:val="005D24D3"/>
    <w:rsid w:val="006333DD"/>
    <w:rsid w:val="0065611D"/>
    <w:rsid w:val="00692E4B"/>
    <w:rsid w:val="006A08A1"/>
    <w:rsid w:val="006B2924"/>
    <w:rsid w:val="006D1A2C"/>
    <w:rsid w:val="0070722B"/>
    <w:rsid w:val="0072758F"/>
    <w:rsid w:val="0073277C"/>
    <w:rsid w:val="0075002A"/>
    <w:rsid w:val="00754698"/>
    <w:rsid w:val="00763354"/>
    <w:rsid w:val="00773738"/>
    <w:rsid w:val="007A3A12"/>
    <w:rsid w:val="007B0785"/>
    <w:rsid w:val="007E218F"/>
    <w:rsid w:val="007F2477"/>
    <w:rsid w:val="00816CFF"/>
    <w:rsid w:val="008253F7"/>
    <w:rsid w:val="00835BC1"/>
    <w:rsid w:val="008416B2"/>
    <w:rsid w:val="008418CB"/>
    <w:rsid w:val="00865739"/>
    <w:rsid w:val="008660A9"/>
    <w:rsid w:val="0087628D"/>
    <w:rsid w:val="00884E40"/>
    <w:rsid w:val="008902BD"/>
    <w:rsid w:val="00895C7B"/>
    <w:rsid w:val="008A33D8"/>
    <w:rsid w:val="008A37D5"/>
    <w:rsid w:val="008B7806"/>
    <w:rsid w:val="008E31C6"/>
    <w:rsid w:val="009131B5"/>
    <w:rsid w:val="009174E4"/>
    <w:rsid w:val="009272C5"/>
    <w:rsid w:val="00944C03"/>
    <w:rsid w:val="00945255"/>
    <w:rsid w:val="00962907"/>
    <w:rsid w:val="009734FC"/>
    <w:rsid w:val="00994B13"/>
    <w:rsid w:val="009A2752"/>
    <w:rsid w:val="009E3410"/>
    <w:rsid w:val="009F0430"/>
    <w:rsid w:val="009F17F8"/>
    <w:rsid w:val="00A432FA"/>
    <w:rsid w:val="00A578A8"/>
    <w:rsid w:val="00A80949"/>
    <w:rsid w:val="00A9087D"/>
    <w:rsid w:val="00A911F6"/>
    <w:rsid w:val="00AC113D"/>
    <w:rsid w:val="00AC23A0"/>
    <w:rsid w:val="00AD1C4F"/>
    <w:rsid w:val="00AD2EE1"/>
    <w:rsid w:val="00AE2A5B"/>
    <w:rsid w:val="00AE46C3"/>
    <w:rsid w:val="00AF2EDB"/>
    <w:rsid w:val="00AF6C63"/>
    <w:rsid w:val="00B25AD3"/>
    <w:rsid w:val="00B76F1A"/>
    <w:rsid w:val="00B9161D"/>
    <w:rsid w:val="00B921BE"/>
    <w:rsid w:val="00B97F7F"/>
    <w:rsid w:val="00BA7508"/>
    <w:rsid w:val="00BB2777"/>
    <w:rsid w:val="00BC0FAC"/>
    <w:rsid w:val="00BC346E"/>
    <w:rsid w:val="00BE5346"/>
    <w:rsid w:val="00BF6BEA"/>
    <w:rsid w:val="00C040DC"/>
    <w:rsid w:val="00C04F90"/>
    <w:rsid w:val="00C150E8"/>
    <w:rsid w:val="00C179EB"/>
    <w:rsid w:val="00C27C85"/>
    <w:rsid w:val="00C51FD5"/>
    <w:rsid w:val="00C53776"/>
    <w:rsid w:val="00C63354"/>
    <w:rsid w:val="00C71259"/>
    <w:rsid w:val="00C8555F"/>
    <w:rsid w:val="00C90B57"/>
    <w:rsid w:val="00CE4D47"/>
    <w:rsid w:val="00D02D91"/>
    <w:rsid w:val="00D11629"/>
    <w:rsid w:val="00D15C3B"/>
    <w:rsid w:val="00D43944"/>
    <w:rsid w:val="00D52497"/>
    <w:rsid w:val="00D63052"/>
    <w:rsid w:val="00D7656B"/>
    <w:rsid w:val="00D770AB"/>
    <w:rsid w:val="00D84583"/>
    <w:rsid w:val="00DA1B74"/>
    <w:rsid w:val="00DE042A"/>
    <w:rsid w:val="00DF676C"/>
    <w:rsid w:val="00E07359"/>
    <w:rsid w:val="00E0775B"/>
    <w:rsid w:val="00E25648"/>
    <w:rsid w:val="00E26398"/>
    <w:rsid w:val="00E31175"/>
    <w:rsid w:val="00E4442A"/>
    <w:rsid w:val="00E5511A"/>
    <w:rsid w:val="00E70F47"/>
    <w:rsid w:val="00EB486D"/>
    <w:rsid w:val="00EC76D7"/>
    <w:rsid w:val="00ED416B"/>
    <w:rsid w:val="00F37473"/>
    <w:rsid w:val="00F5073E"/>
    <w:rsid w:val="00F50EB1"/>
    <w:rsid w:val="00F870B1"/>
    <w:rsid w:val="00F945D1"/>
    <w:rsid w:val="00FA528B"/>
    <w:rsid w:val="00FC41C6"/>
    <w:rsid w:val="00FC4D65"/>
    <w:rsid w:val="00FD2DAD"/>
    <w:rsid w:val="00FD72DA"/>
    <w:rsid w:val="00FE1EFB"/>
    <w:rsid w:val="00FE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AB5F7"/>
  <w15:chartTrackingRefBased/>
  <w15:docId w15:val="{BA0C742D-99D8-4750-AB19-9162077A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77C"/>
    <w:rPr>
      <w:color w:val="0563C1" w:themeColor="hyperlink"/>
      <w:u w:val="single"/>
    </w:rPr>
  </w:style>
  <w:style w:type="character" w:customStyle="1" w:styleId="UnresolvedMention1">
    <w:name w:val="Unresolved Mention1"/>
    <w:basedOn w:val="DefaultParagraphFont"/>
    <w:uiPriority w:val="99"/>
    <w:semiHidden/>
    <w:unhideWhenUsed/>
    <w:rsid w:val="0073277C"/>
    <w:rPr>
      <w:color w:val="808080"/>
      <w:shd w:val="clear" w:color="auto" w:fill="E6E6E6"/>
    </w:rPr>
  </w:style>
  <w:style w:type="paragraph" w:styleId="ListParagraph">
    <w:name w:val="List Paragraph"/>
    <w:basedOn w:val="Normal"/>
    <w:uiPriority w:val="34"/>
    <w:qFormat/>
    <w:rsid w:val="00BC0FAC"/>
    <w:pPr>
      <w:ind w:left="720"/>
      <w:contextualSpacing/>
    </w:pPr>
  </w:style>
  <w:style w:type="paragraph" w:styleId="NormalWeb">
    <w:name w:val="Normal (Web)"/>
    <w:basedOn w:val="Normal"/>
    <w:uiPriority w:val="99"/>
    <w:unhideWhenUsed/>
    <w:rsid w:val="00962907"/>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C53776"/>
    <w:rPr>
      <w:b/>
      <w:bCs/>
    </w:rPr>
  </w:style>
  <w:style w:type="character" w:customStyle="1" w:styleId="UnresolvedMention2">
    <w:name w:val="Unresolved Mention2"/>
    <w:basedOn w:val="DefaultParagraphFont"/>
    <w:uiPriority w:val="99"/>
    <w:semiHidden/>
    <w:unhideWhenUsed/>
    <w:rsid w:val="00FD2DAD"/>
    <w:rPr>
      <w:color w:val="605E5C"/>
      <w:shd w:val="clear" w:color="auto" w:fill="E1DFDD"/>
    </w:rPr>
  </w:style>
  <w:style w:type="table" w:styleId="TableGrid">
    <w:name w:val="Table Grid"/>
    <w:basedOn w:val="TableNormal"/>
    <w:uiPriority w:val="39"/>
    <w:rsid w:val="002B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7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2777"/>
  </w:style>
  <w:style w:type="paragraph" w:styleId="Footer">
    <w:name w:val="footer"/>
    <w:basedOn w:val="Normal"/>
    <w:link w:val="FooterChar"/>
    <w:uiPriority w:val="99"/>
    <w:unhideWhenUsed/>
    <w:rsid w:val="00BB27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777"/>
  </w:style>
  <w:style w:type="character" w:styleId="UnresolvedMention">
    <w:name w:val="Unresolved Mention"/>
    <w:basedOn w:val="DefaultParagraphFont"/>
    <w:uiPriority w:val="99"/>
    <w:semiHidden/>
    <w:unhideWhenUsed/>
    <w:rsid w:val="005511E5"/>
    <w:rPr>
      <w:color w:val="605E5C"/>
      <w:shd w:val="clear" w:color="auto" w:fill="E1DFDD"/>
    </w:rPr>
  </w:style>
  <w:style w:type="character" w:styleId="FollowedHyperlink">
    <w:name w:val="FollowedHyperlink"/>
    <w:basedOn w:val="DefaultParagraphFont"/>
    <w:uiPriority w:val="99"/>
    <w:semiHidden/>
    <w:unhideWhenUsed/>
    <w:rsid w:val="002D0E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2601">
      <w:bodyDiv w:val="1"/>
      <w:marLeft w:val="0"/>
      <w:marRight w:val="0"/>
      <w:marTop w:val="0"/>
      <w:marBottom w:val="0"/>
      <w:divBdr>
        <w:top w:val="none" w:sz="0" w:space="0" w:color="auto"/>
        <w:left w:val="none" w:sz="0" w:space="0" w:color="auto"/>
        <w:bottom w:val="none" w:sz="0" w:space="0" w:color="auto"/>
        <w:right w:val="none" w:sz="0" w:space="0" w:color="auto"/>
      </w:divBdr>
    </w:div>
    <w:div w:id="626006571">
      <w:bodyDiv w:val="1"/>
      <w:marLeft w:val="0"/>
      <w:marRight w:val="0"/>
      <w:marTop w:val="0"/>
      <w:marBottom w:val="0"/>
      <w:divBdr>
        <w:top w:val="none" w:sz="0" w:space="0" w:color="auto"/>
        <w:left w:val="none" w:sz="0" w:space="0" w:color="auto"/>
        <w:bottom w:val="none" w:sz="0" w:space="0" w:color="auto"/>
        <w:right w:val="none" w:sz="0" w:space="0" w:color="auto"/>
      </w:divBdr>
    </w:div>
    <w:div w:id="836769424">
      <w:bodyDiv w:val="1"/>
      <w:marLeft w:val="0"/>
      <w:marRight w:val="0"/>
      <w:marTop w:val="0"/>
      <w:marBottom w:val="0"/>
      <w:divBdr>
        <w:top w:val="none" w:sz="0" w:space="0" w:color="auto"/>
        <w:left w:val="none" w:sz="0" w:space="0" w:color="auto"/>
        <w:bottom w:val="none" w:sz="0" w:space="0" w:color="auto"/>
        <w:right w:val="none" w:sz="0" w:space="0" w:color="auto"/>
      </w:divBdr>
    </w:div>
    <w:div w:id="1373195105">
      <w:bodyDiv w:val="1"/>
      <w:marLeft w:val="0"/>
      <w:marRight w:val="0"/>
      <w:marTop w:val="0"/>
      <w:marBottom w:val="0"/>
      <w:divBdr>
        <w:top w:val="none" w:sz="0" w:space="0" w:color="auto"/>
        <w:left w:val="none" w:sz="0" w:space="0" w:color="auto"/>
        <w:bottom w:val="none" w:sz="0" w:space="0" w:color="auto"/>
        <w:right w:val="none" w:sz="0" w:space="0" w:color="auto"/>
      </w:divBdr>
    </w:div>
    <w:div w:id="1433821525">
      <w:bodyDiv w:val="1"/>
      <w:marLeft w:val="0"/>
      <w:marRight w:val="0"/>
      <w:marTop w:val="0"/>
      <w:marBottom w:val="0"/>
      <w:divBdr>
        <w:top w:val="none" w:sz="0" w:space="0" w:color="auto"/>
        <w:left w:val="none" w:sz="0" w:space="0" w:color="auto"/>
        <w:bottom w:val="none" w:sz="0" w:space="0" w:color="auto"/>
        <w:right w:val="none" w:sz="0" w:space="0" w:color="auto"/>
      </w:divBdr>
    </w:div>
    <w:div w:id="1515222704">
      <w:bodyDiv w:val="1"/>
      <w:marLeft w:val="0"/>
      <w:marRight w:val="0"/>
      <w:marTop w:val="0"/>
      <w:marBottom w:val="0"/>
      <w:divBdr>
        <w:top w:val="none" w:sz="0" w:space="0" w:color="auto"/>
        <w:left w:val="none" w:sz="0" w:space="0" w:color="auto"/>
        <w:bottom w:val="none" w:sz="0" w:space="0" w:color="auto"/>
        <w:right w:val="none" w:sz="0" w:space="0" w:color="auto"/>
      </w:divBdr>
      <w:divsChild>
        <w:div w:id="2011643204">
          <w:marLeft w:val="864"/>
          <w:marRight w:val="0"/>
          <w:marTop w:val="0"/>
          <w:marBottom w:val="0"/>
          <w:divBdr>
            <w:top w:val="none" w:sz="0" w:space="0" w:color="auto"/>
            <w:left w:val="none" w:sz="0" w:space="0" w:color="auto"/>
            <w:bottom w:val="none" w:sz="0" w:space="0" w:color="auto"/>
            <w:right w:val="none" w:sz="0" w:space="0" w:color="auto"/>
          </w:divBdr>
        </w:div>
        <w:div w:id="301008402">
          <w:marLeft w:val="864"/>
          <w:marRight w:val="0"/>
          <w:marTop w:val="0"/>
          <w:marBottom w:val="0"/>
          <w:divBdr>
            <w:top w:val="none" w:sz="0" w:space="0" w:color="auto"/>
            <w:left w:val="none" w:sz="0" w:space="0" w:color="auto"/>
            <w:bottom w:val="none" w:sz="0" w:space="0" w:color="auto"/>
            <w:right w:val="none" w:sz="0" w:space="0" w:color="auto"/>
          </w:divBdr>
        </w:div>
        <w:div w:id="840046432">
          <w:marLeft w:val="864"/>
          <w:marRight w:val="0"/>
          <w:marTop w:val="0"/>
          <w:marBottom w:val="0"/>
          <w:divBdr>
            <w:top w:val="none" w:sz="0" w:space="0" w:color="auto"/>
            <w:left w:val="none" w:sz="0" w:space="0" w:color="auto"/>
            <w:bottom w:val="none" w:sz="0" w:space="0" w:color="auto"/>
            <w:right w:val="none" w:sz="0" w:space="0" w:color="auto"/>
          </w:divBdr>
        </w:div>
        <w:div w:id="765346449">
          <w:marLeft w:val="864"/>
          <w:marRight w:val="0"/>
          <w:marTop w:val="0"/>
          <w:marBottom w:val="0"/>
          <w:divBdr>
            <w:top w:val="none" w:sz="0" w:space="0" w:color="auto"/>
            <w:left w:val="none" w:sz="0" w:space="0" w:color="auto"/>
            <w:bottom w:val="none" w:sz="0" w:space="0" w:color="auto"/>
            <w:right w:val="none" w:sz="0" w:space="0" w:color="auto"/>
          </w:divBdr>
        </w:div>
        <w:div w:id="1881280738">
          <w:marLeft w:val="864"/>
          <w:marRight w:val="0"/>
          <w:marTop w:val="0"/>
          <w:marBottom w:val="0"/>
          <w:divBdr>
            <w:top w:val="none" w:sz="0" w:space="0" w:color="auto"/>
            <w:left w:val="none" w:sz="0" w:space="0" w:color="auto"/>
            <w:bottom w:val="none" w:sz="0" w:space="0" w:color="auto"/>
            <w:right w:val="none" w:sz="0" w:space="0" w:color="auto"/>
          </w:divBdr>
        </w:div>
        <w:div w:id="361442733">
          <w:marLeft w:val="86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m.org/events/annual-meeting/submitting/submission-guidelin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xa505@cas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om.org/events/annual-meeting/submitting/submission-process" TargetMode="External"/><Relationship Id="rId4" Type="http://schemas.openxmlformats.org/officeDocument/2006/relationships/webSettings" Target="webSettings.xml"/><Relationship Id="rId9" Type="http://schemas.openxmlformats.org/officeDocument/2006/relationships/hyperlink" Target="mailto:shola.ajiboye@cas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1518</Words>
  <Characters>8655</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Sanders</dc:creator>
  <cp:keywords/>
  <dc:description/>
  <cp:lastModifiedBy>Levi~ VitalVisa.com</cp:lastModifiedBy>
  <cp:revision>7</cp:revision>
  <dcterms:created xsi:type="dcterms:W3CDTF">2022-11-18T19:59:00Z</dcterms:created>
  <dcterms:modified xsi:type="dcterms:W3CDTF">2022-11-18T20:19:00Z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0beed1f24b31a3a7878719bbb11a8238e0b79fea932f66b1b69545785eccb11d</vt:lpwstr>
  </property>
</Properties>
</file>