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87B6E" w14:textId="77777777" w:rsidR="005C538A" w:rsidRPr="00D963D6" w:rsidRDefault="005C538A" w:rsidP="005C538A">
      <w:pPr>
        <w:autoSpaceDE w:val="0"/>
        <w:autoSpaceDN w:val="0"/>
        <w:spacing w:line="360" w:lineRule="auto"/>
        <w:jc w:val="center"/>
        <w:rPr>
          <w:rFonts w:ascii="Verdana" w:hAnsi="Verdana" w:cs="Times New Roman"/>
          <w:b/>
          <w:bCs/>
          <w:i/>
          <w:iCs/>
        </w:rPr>
      </w:pPr>
      <w:bookmarkStart w:id="0" w:name="_GoBack"/>
      <w:bookmarkEnd w:id="0"/>
      <w:r w:rsidRPr="00D963D6">
        <w:rPr>
          <w:rFonts w:ascii="Verdana" w:hAnsi="Verdana" w:cs="Times New Roman"/>
          <w:b/>
          <w:bCs/>
          <w:i/>
          <w:iCs/>
        </w:rPr>
        <w:t xml:space="preserve">Journal of Business Research </w:t>
      </w:r>
    </w:p>
    <w:p w14:paraId="07B3FFA2" w14:textId="77777777" w:rsidR="005C538A" w:rsidRPr="00D963D6" w:rsidRDefault="005C538A" w:rsidP="005C538A">
      <w:pPr>
        <w:autoSpaceDE w:val="0"/>
        <w:autoSpaceDN w:val="0"/>
        <w:spacing w:line="360" w:lineRule="auto"/>
        <w:jc w:val="center"/>
        <w:rPr>
          <w:rFonts w:ascii="Verdana" w:hAnsi="Verdana" w:cs="Times New Roman"/>
          <w:b/>
          <w:bCs/>
        </w:rPr>
      </w:pPr>
      <w:r w:rsidRPr="00D963D6">
        <w:rPr>
          <w:rFonts w:ascii="Verdana" w:hAnsi="Verdana" w:cs="Times New Roman"/>
          <w:b/>
          <w:bCs/>
        </w:rPr>
        <w:t xml:space="preserve">Call for Papers – Special Issue on </w:t>
      </w:r>
    </w:p>
    <w:p w14:paraId="77DED31F" w14:textId="77777777" w:rsidR="00D963D6" w:rsidRDefault="005C538A" w:rsidP="005C538A">
      <w:pPr>
        <w:jc w:val="center"/>
        <w:rPr>
          <w:rFonts w:ascii="Verdana" w:hAnsi="Verdana" w:cs="Times New Roman"/>
          <w:b/>
          <w:bCs/>
          <w:sz w:val="24"/>
          <w:szCs w:val="24"/>
        </w:rPr>
      </w:pPr>
      <w:r w:rsidRPr="00D963D6">
        <w:rPr>
          <w:rFonts w:ascii="Verdana" w:hAnsi="Verdana" w:cs="Times New Roman"/>
          <w:b/>
          <w:bCs/>
          <w:sz w:val="24"/>
          <w:szCs w:val="24"/>
        </w:rPr>
        <w:t xml:space="preserve">What is still emerging about EMNEs? </w:t>
      </w:r>
    </w:p>
    <w:p w14:paraId="1F62A712" w14:textId="1B0DB4D3" w:rsidR="005C538A" w:rsidRPr="00D963D6" w:rsidRDefault="005C538A" w:rsidP="005C538A">
      <w:pPr>
        <w:jc w:val="center"/>
        <w:rPr>
          <w:rFonts w:ascii="Verdana" w:hAnsi="Verdana" w:cs="Times New Roman"/>
          <w:b/>
          <w:bCs/>
          <w:sz w:val="24"/>
          <w:szCs w:val="24"/>
        </w:rPr>
      </w:pPr>
      <w:r w:rsidRPr="00D963D6">
        <w:rPr>
          <w:rFonts w:ascii="Verdana" w:hAnsi="Verdana" w:cs="Times New Roman"/>
          <w:b/>
          <w:bCs/>
          <w:sz w:val="24"/>
          <w:szCs w:val="24"/>
        </w:rPr>
        <w:t>Setting the agenda for future research</w:t>
      </w:r>
    </w:p>
    <w:p w14:paraId="26B02061" w14:textId="77777777" w:rsidR="005C538A" w:rsidRPr="00D963D6" w:rsidRDefault="005C538A" w:rsidP="005C538A">
      <w:pPr>
        <w:jc w:val="center"/>
        <w:rPr>
          <w:rFonts w:ascii="Verdana" w:hAnsi="Verdana" w:cs="Tahoma"/>
          <w:b/>
          <w:bCs/>
          <w:sz w:val="20"/>
          <w:szCs w:val="20"/>
        </w:rPr>
      </w:pPr>
    </w:p>
    <w:p w14:paraId="4DD6DD9D" w14:textId="77777777" w:rsidR="005C538A" w:rsidRPr="00D963D6" w:rsidRDefault="005C538A" w:rsidP="005C538A">
      <w:pPr>
        <w:autoSpaceDE w:val="0"/>
        <w:autoSpaceDN w:val="0"/>
        <w:jc w:val="center"/>
        <w:rPr>
          <w:rFonts w:ascii="Verdana" w:hAnsi="Verdana" w:cs="Times New Roman"/>
          <w:b/>
          <w:bCs/>
        </w:rPr>
      </w:pPr>
      <w:r w:rsidRPr="00D963D6">
        <w:rPr>
          <w:rFonts w:ascii="Verdana" w:hAnsi="Verdana" w:cs="Times New Roman"/>
          <w:b/>
          <w:bCs/>
        </w:rPr>
        <w:t>Extended abstract submission deadline: 31 July 2020</w:t>
      </w:r>
    </w:p>
    <w:p w14:paraId="4700A89A" w14:textId="77777777" w:rsidR="005C538A" w:rsidRPr="00D963D6" w:rsidRDefault="005C538A" w:rsidP="005C538A">
      <w:pPr>
        <w:autoSpaceDE w:val="0"/>
        <w:autoSpaceDN w:val="0"/>
        <w:jc w:val="center"/>
        <w:rPr>
          <w:rFonts w:ascii="Verdana" w:hAnsi="Verdana" w:cs="Times New Roman"/>
          <w:b/>
          <w:bCs/>
        </w:rPr>
      </w:pPr>
      <w:r w:rsidRPr="00D963D6">
        <w:rPr>
          <w:rFonts w:ascii="Verdana" w:hAnsi="Verdana" w:cs="Times New Roman"/>
          <w:b/>
          <w:bCs/>
        </w:rPr>
        <w:t>Paper submission deadline: 31 January 2021</w:t>
      </w:r>
    </w:p>
    <w:p w14:paraId="7F50EA3E" w14:textId="77777777" w:rsidR="005C538A" w:rsidRDefault="005C538A" w:rsidP="005C538A">
      <w:pPr>
        <w:autoSpaceDE w:val="0"/>
        <w:autoSpaceDN w:val="0"/>
        <w:jc w:val="center"/>
        <w:rPr>
          <w:rFonts w:ascii="Times New Roman" w:hAnsi="Times New Roman" w:cs="Times New Roman"/>
          <w:b/>
          <w:bCs/>
        </w:rPr>
      </w:pPr>
    </w:p>
    <w:p w14:paraId="5E37459B" w14:textId="77777777" w:rsidR="005C538A" w:rsidRDefault="005C538A" w:rsidP="005C538A">
      <w:pPr>
        <w:autoSpaceDE w:val="0"/>
        <w:autoSpaceDN w:val="0"/>
        <w:rPr>
          <w:rFonts w:ascii="Times New Roman" w:hAnsi="Times New Roman" w:cs="Times New Roman"/>
          <w:b/>
          <w:bCs/>
        </w:rPr>
      </w:pPr>
    </w:p>
    <w:p w14:paraId="09763988" w14:textId="77777777" w:rsidR="005C538A" w:rsidRPr="00D963D6" w:rsidRDefault="005C538A" w:rsidP="005C538A">
      <w:pPr>
        <w:autoSpaceDE w:val="0"/>
        <w:autoSpaceDN w:val="0"/>
        <w:rPr>
          <w:rFonts w:ascii="Verdana" w:hAnsi="Verdana" w:cs="Times New Roman"/>
          <w:b/>
          <w:bCs/>
          <w:i/>
          <w:iCs/>
          <w:sz w:val="20"/>
          <w:szCs w:val="20"/>
        </w:rPr>
      </w:pPr>
      <w:r w:rsidRPr="00D963D6">
        <w:rPr>
          <w:rFonts w:ascii="Verdana" w:hAnsi="Verdana" w:cs="Times New Roman"/>
          <w:b/>
          <w:bCs/>
          <w:sz w:val="20"/>
          <w:szCs w:val="20"/>
        </w:rPr>
        <w:t>Guest Editors:</w:t>
      </w:r>
    </w:p>
    <w:p w14:paraId="1789D14D" w14:textId="77777777" w:rsidR="005C538A" w:rsidRPr="00D963D6" w:rsidRDefault="005C538A" w:rsidP="005C538A">
      <w:pPr>
        <w:autoSpaceDE w:val="0"/>
        <w:autoSpaceDN w:val="0"/>
        <w:rPr>
          <w:rFonts w:ascii="Verdana" w:hAnsi="Verdana" w:cs="Times New Roman"/>
          <w:b/>
          <w:bCs/>
          <w:sz w:val="20"/>
          <w:szCs w:val="20"/>
        </w:rPr>
      </w:pPr>
    </w:p>
    <w:p w14:paraId="1D2F47F9" w14:textId="77777777" w:rsidR="005C538A" w:rsidRPr="00D963D6" w:rsidRDefault="005C538A" w:rsidP="005C538A">
      <w:pPr>
        <w:autoSpaceDE w:val="0"/>
        <w:autoSpaceDN w:val="0"/>
        <w:spacing w:before="120" w:after="120"/>
        <w:rPr>
          <w:rFonts w:ascii="Verdana" w:hAnsi="Verdana" w:cs="Times New Roman"/>
          <w:sz w:val="20"/>
          <w:szCs w:val="20"/>
        </w:rPr>
      </w:pPr>
      <w:r w:rsidRPr="00D963D6">
        <w:rPr>
          <w:rFonts w:ascii="Verdana" w:hAnsi="Verdana" w:cs="Times New Roman"/>
          <w:sz w:val="20"/>
          <w:szCs w:val="20"/>
        </w:rPr>
        <w:t xml:space="preserve">Stefano Elia, </w:t>
      </w:r>
      <w:proofErr w:type="spellStart"/>
      <w:r w:rsidRPr="00D963D6">
        <w:rPr>
          <w:rFonts w:ascii="Verdana" w:hAnsi="Verdana" w:cs="Times New Roman"/>
          <w:sz w:val="20"/>
          <w:szCs w:val="20"/>
        </w:rPr>
        <w:t>Politecnico</w:t>
      </w:r>
      <w:proofErr w:type="spellEnd"/>
      <w:r w:rsidRPr="00D963D6">
        <w:rPr>
          <w:rFonts w:ascii="Verdana" w:hAnsi="Verdana" w:cs="Times New Roman"/>
          <w:sz w:val="20"/>
          <w:szCs w:val="20"/>
        </w:rPr>
        <w:t xml:space="preserve"> di Milano, Italy. Email: </w:t>
      </w:r>
      <w:hyperlink r:id="rId5" w:history="1">
        <w:r w:rsidRPr="00D963D6">
          <w:rPr>
            <w:rStyle w:val="Hyperlink"/>
            <w:rFonts w:ascii="Verdana" w:hAnsi="Verdana" w:cs="Times New Roman"/>
            <w:sz w:val="20"/>
            <w:szCs w:val="20"/>
          </w:rPr>
          <w:t>stefano.elia@polimi.it</w:t>
        </w:r>
      </w:hyperlink>
    </w:p>
    <w:p w14:paraId="39E8DC7F" w14:textId="77777777" w:rsidR="005C538A" w:rsidRPr="00D963D6" w:rsidRDefault="005C538A" w:rsidP="005C538A">
      <w:pPr>
        <w:autoSpaceDE w:val="0"/>
        <w:autoSpaceDN w:val="0"/>
        <w:spacing w:before="120" w:after="120"/>
        <w:rPr>
          <w:rFonts w:ascii="Verdana" w:hAnsi="Verdana" w:cs="Times New Roman"/>
          <w:sz w:val="20"/>
          <w:szCs w:val="20"/>
        </w:rPr>
      </w:pPr>
      <w:r w:rsidRPr="00D963D6">
        <w:rPr>
          <w:rFonts w:ascii="Verdana" w:hAnsi="Verdana" w:cs="Times New Roman"/>
          <w:sz w:val="20"/>
          <w:szCs w:val="20"/>
        </w:rPr>
        <w:t xml:space="preserve">Surender Munjal, University of Leeds, United Kingdom. Email: </w:t>
      </w:r>
      <w:hyperlink r:id="rId6" w:history="1">
        <w:r w:rsidRPr="00D963D6">
          <w:rPr>
            <w:rStyle w:val="Hyperlink"/>
            <w:rFonts w:ascii="Verdana" w:hAnsi="Verdana" w:cs="Times New Roman"/>
            <w:sz w:val="20"/>
            <w:szCs w:val="20"/>
          </w:rPr>
          <w:t>S.Munjal@lubs.leeds.ac.uk</w:t>
        </w:r>
      </w:hyperlink>
    </w:p>
    <w:p w14:paraId="355FC117" w14:textId="77777777" w:rsidR="005C538A" w:rsidRPr="00D963D6" w:rsidRDefault="005C538A" w:rsidP="005C538A">
      <w:pPr>
        <w:autoSpaceDE w:val="0"/>
        <w:autoSpaceDN w:val="0"/>
        <w:spacing w:before="120" w:after="120"/>
        <w:rPr>
          <w:rFonts w:ascii="Verdana" w:hAnsi="Verdana" w:cs="Times New Roman"/>
          <w:sz w:val="20"/>
          <w:szCs w:val="20"/>
        </w:rPr>
      </w:pPr>
      <w:r w:rsidRPr="00D963D6">
        <w:rPr>
          <w:rFonts w:ascii="Verdana" w:hAnsi="Verdana" w:cs="Times New Roman"/>
          <w:sz w:val="20"/>
          <w:szCs w:val="20"/>
        </w:rPr>
        <w:t xml:space="preserve">Peter J. Buckley, University of Leeds, United Kingdom. Email: </w:t>
      </w:r>
      <w:hyperlink r:id="rId7" w:history="1">
        <w:r w:rsidRPr="00D963D6">
          <w:rPr>
            <w:rStyle w:val="Hyperlink"/>
            <w:rFonts w:ascii="Verdana" w:hAnsi="Verdana" w:cs="Times New Roman"/>
            <w:sz w:val="20"/>
            <w:szCs w:val="20"/>
          </w:rPr>
          <w:t>P.J.Buckley@lubs.leeds.ac.uk</w:t>
        </w:r>
      </w:hyperlink>
    </w:p>
    <w:p w14:paraId="357F57BD" w14:textId="77777777" w:rsidR="005C538A" w:rsidRPr="00D963D6" w:rsidRDefault="005C538A" w:rsidP="005C538A">
      <w:pPr>
        <w:autoSpaceDE w:val="0"/>
        <w:autoSpaceDN w:val="0"/>
        <w:spacing w:before="120" w:after="120"/>
        <w:rPr>
          <w:rFonts w:ascii="Verdana" w:hAnsi="Verdana" w:cs="Times New Roman"/>
          <w:sz w:val="20"/>
          <w:szCs w:val="20"/>
        </w:rPr>
      </w:pPr>
      <w:r w:rsidRPr="00D963D6">
        <w:rPr>
          <w:rFonts w:ascii="Verdana" w:hAnsi="Verdana" w:cs="Times New Roman"/>
          <w:sz w:val="20"/>
          <w:szCs w:val="20"/>
        </w:rPr>
        <w:t xml:space="preserve">S. Tamer Cavusgil, Georgia State University, USA, Email: </w:t>
      </w:r>
      <w:hyperlink r:id="rId8" w:history="1">
        <w:r w:rsidRPr="00D963D6">
          <w:rPr>
            <w:rStyle w:val="Hyperlink"/>
            <w:rFonts w:ascii="Verdana" w:hAnsi="Verdana" w:cs="Times New Roman"/>
            <w:sz w:val="20"/>
            <w:szCs w:val="20"/>
          </w:rPr>
          <w:t>stcavusgil@gsu.edu</w:t>
        </w:r>
      </w:hyperlink>
      <w:r w:rsidRPr="00D963D6">
        <w:rPr>
          <w:rFonts w:ascii="Verdana" w:hAnsi="Verdana" w:cs="Times New Roman"/>
          <w:sz w:val="20"/>
          <w:szCs w:val="20"/>
          <w:lang w:val="en-GB"/>
        </w:rPr>
        <w:t xml:space="preserve"> </w:t>
      </w:r>
    </w:p>
    <w:p w14:paraId="7155B2F7" w14:textId="77777777" w:rsidR="005C538A" w:rsidRPr="00D963D6" w:rsidRDefault="005C538A" w:rsidP="005C538A">
      <w:pPr>
        <w:autoSpaceDE w:val="0"/>
        <w:autoSpaceDN w:val="0"/>
        <w:spacing w:line="360" w:lineRule="auto"/>
        <w:rPr>
          <w:rFonts w:ascii="Verdana" w:hAnsi="Verdana" w:cs="Times New Roman"/>
          <w:sz w:val="20"/>
          <w:szCs w:val="20"/>
        </w:rPr>
      </w:pPr>
    </w:p>
    <w:p w14:paraId="7FBFAE9B" w14:textId="77777777" w:rsidR="005C538A" w:rsidRPr="00D963D6" w:rsidRDefault="005C538A" w:rsidP="005C538A">
      <w:pPr>
        <w:autoSpaceDE w:val="0"/>
        <w:autoSpaceDN w:val="0"/>
        <w:spacing w:line="480" w:lineRule="auto"/>
        <w:rPr>
          <w:rFonts w:ascii="Verdana" w:hAnsi="Verdana" w:cs="Times New Roman"/>
          <w:b/>
          <w:bCs/>
          <w:sz w:val="20"/>
          <w:szCs w:val="20"/>
        </w:rPr>
      </w:pPr>
      <w:r w:rsidRPr="00D963D6">
        <w:rPr>
          <w:rFonts w:ascii="Verdana" w:hAnsi="Verdana" w:cs="Times New Roman"/>
          <w:b/>
          <w:bCs/>
          <w:sz w:val="20"/>
          <w:szCs w:val="20"/>
        </w:rPr>
        <w:t>Background and Rationale for the Special Issue</w:t>
      </w:r>
    </w:p>
    <w:p w14:paraId="779A5A54" w14:textId="77777777" w:rsidR="005C538A" w:rsidRPr="00D963D6" w:rsidRDefault="005C538A" w:rsidP="005C538A">
      <w:pPr>
        <w:autoSpaceDE w:val="0"/>
        <w:autoSpaceDN w:val="0"/>
        <w:spacing w:line="360" w:lineRule="auto"/>
        <w:rPr>
          <w:rFonts w:ascii="Verdana" w:hAnsi="Verdana" w:cs="Times New Roman"/>
          <w:sz w:val="20"/>
          <w:szCs w:val="20"/>
        </w:rPr>
      </w:pPr>
      <w:r w:rsidRPr="00D963D6">
        <w:rPr>
          <w:rFonts w:ascii="Verdana" w:hAnsi="Verdana" w:cs="Times New Roman"/>
          <w:sz w:val="20"/>
          <w:szCs w:val="20"/>
        </w:rPr>
        <w:t>Over the last two decades emerging market multinationals (EMNEs) have been persistently internationalizing by undertaking foreign direct investment (FDI) in developing and advanced markets. Their FDI often involves acquisition of major industry players in host markets. The phenomenon of EMNE internationalization has stimulated a lively debate among international business scholars. The main points of this debate concern EMNEs catching up and competing with global peers (</w:t>
      </w:r>
      <w:proofErr w:type="spellStart"/>
      <w:r w:rsidRPr="00D963D6">
        <w:rPr>
          <w:rFonts w:ascii="Verdana" w:hAnsi="Verdana" w:cs="Times New Roman"/>
          <w:sz w:val="20"/>
          <w:szCs w:val="20"/>
        </w:rPr>
        <w:t>Awate</w:t>
      </w:r>
      <w:proofErr w:type="spellEnd"/>
      <w:r w:rsidRPr="00D963D6">
        <w:rPr>
          <w:rFonts w:ascii="Verdana" w:hAnsi="Verdana" w:cs="Times New Roman"/>
          <w:sz w:val="20"/>
          <w:szCs w:val="20"/>
        </w:rPr>
        <w:t xml:space="preserve"> et al., 2012, Contractor, 2013, Munjal et al. 2019), the asset augmentation strategies adopted for rapid internationalization (e.g. Luo and Tung, 2007; Madhok and </w:t>
      </w:r>
      <w:proofErr w:type="spellStart"/>
      <w:r w:rsidRPr="00D963D6">
        <w:rPr>
          <w:rFonts w:ascii="Verdana" w:hAnsi="Verdana" w:cs="Times New Roman"/>
          <w:sz w:val="20"/>
          <w:szCs w:val="20"/>
        </w:rPr>
        <w:t>Keyhani</w:t>
      </w:r>
      <w:proofErr w:type="spellEnd"/>
      <w:r w:rsidRPr="00D963D6">
        <w:rPr>
          <w:rFonts w:ascii="Verdana" w:hAnsi="Verdana" w:cs="Times New Roman"/>
          <w:sz w:val="20"/>
          <w:szCs w:val="20"/>
        </w:rPr>
        <w:t xml:space="preserve">, 2012; </w:t>
      </w:r>
      <w:proofErr w:type="spellStart"/>
      <w:r w:rsidRPr="00D963D6">
        <w:rPr>
          <w:rFonts w:ascii="Verdana" w:hAnsi="Verdana" w:cs="Times New Roman"/>
          <w:sz w:val="20"/>
          <w:szCs w:val="20"/>
        </w:rPr>
        <w:t>Özcan</w:t>
      </w:r>
      <w:proofErr w:type="spellEnd"/>
      <w:r w:rsidRPr="00D963D6">
        <w:rPr>
          <w:rFonts w:ascii="Verdana" w:hAnsi="Verdana" w:cs="Times New Roman"/>
          <w:sz w:val="20"/>
          <w:szCs w:val="20"/>
        </w:rPr>
        <w:t xml:space="preserve"> et al, 2018</w:t>
      </w:r>
      <w:r w:rsidRPr="00D963D6">
        <w:rPr>
          <w:rFonts w:ascii="Verdana" w:hAnsi="Verdana" w:cs="Arial"/>
          <w:color w:val="222222"/>
          <w:sz w:val="20"/>
          <w:szCs w:val="20"/>
          <w:shd w:val="clear" w:color="auto" w:fill="FFFFFF"/>
        </w:rPr>
        <w:t xml:space="preserve">, </w:t>
      </w:r>
      <w:proofErr w:type="spellStart"/>
      <w:r w:rsidRPr="00D963D6">
        <w:rPr>
          <w:rFonts w:ascii="Verdana" w:hAnsi="Verdana" w:cs="Times New Roman"/>
          <w:sz w:val="20"/>
          <w:szCs w:val="20"/>
        </w:rPr>
        <w:t>Ramamurti</w:t>
      </w:r>
      <w:proofErr w:type="spellEnd"/>
      <w:r w:rsidRPr="00D963D6">
        <w:rPr>
          <w:rFonts w:ascii="Verdana" w:hAnsi="Verdana" w:cs="Times New Roman"/>
          <w:sz w:val="20"/>
          <w:szCs w:val="20"/>
        </w:rPr>
        <w:t xml:space="preserve"> and Singh, 2009; </w:t>
      </w:r>
      <w:proofErr w:type="spellStart"/>
      <w:r w:rsidRPr="00D963D6">
        <w:rPr>
          <w:rFonts w:ascii="Verdana" w:hAnsi="Verdana" w:cs="Times New Roman"/>
          <w:sz w:val="20"/>
          <w:szCs w:val="20"/>
        </w:rPr>
        <w:t>Rabbiosi</w:t>
      </w:r>
      <w:proofErr w:type="spellEnd"/>
      <w:r w:rsidRPr="00D963D6">
        <w:rPr>
          <w:rFonts w:ascii="Verdana" w:hAnsi="Verdana" w:cs="Times New Roman"/>
          <w:sz w:val="20"/>
          <w:szCs w:val="20"/>
        </w:rPr>
        <w:t xml:space="preserve">, Elia and </w:t>
      </w:r>
      <w:proofErr w:type="spellStart"/>
      <w:r w:rsidRPr="00D963D6">
        <w:rPr>
          <w:rFonts w:ascii="Verdana" w:hAnsi="Verdana" w:cs="Times New Roman"/>
          <w:sz w:val="20"/>
          <w:szCs w:val="20"/>
        </w:rPr>
        <w:t>Bertoni</w:t>
      </w:r>
      <w:proofErr w:type="spellEnd"/>
      <w:r w:rsidRPr="00D963D6">
        <w:rPr>
          <w:rFonts w:ascii="Verdana" w:hAnsi="Verdana" w:cs="Times New Roman"/>
          <w:sz w:val="20"/>
          <w:szCs w:val="20"/>
        </w:rPr>
        <w:t xml:space="preserve">, 2012), the validity of internalization theory (e.g. Buckley et al. 2007; </w:t>
      </w:r>
      <w:proofErr w:type="spellStart"/>
      <w:r w:rsidRPr="00D963D6">
        <w:rPr>
          <w:rFonts w:ascii="Verdana" w:hAnsi="Verdana" w:cs="Times New Roman"/>
          <w:sz w:val="20"/>
          <w:szCs w:val="20"/>
        </w:rPr>
        <w:t>Hennart</w:t>
      </w:r>
      <w:proofErr w:type="spellEnd"/>
      <w:r w:rsidRPr="00D963D6">
        <w:rPr>
          <w:rFonts w:ascii="Verdana" w:hAnsi="Verdana" w:cs="Times New Roman"/>
          <w:sz w:val="20"/>
          <w:szCs w:val="20"/>
        </w:rPr>
        <w:t xml:space="preserve">, 2012) and the relevance of ownership advantages (e.g., </w:t>
      </w:r>
      <w:proofErr w:type="spellStart"/>
      <w:r w:rsidRPr="00D963D6">
        <w:rPr>
          <w:rFonts w:ascii="Verdana" w:hAnsi="Verdana" w:cs="Times New Roman"/>
          <w:sz w:val="20"/>
          <w:szCs w:val="20"/>
        </w:rPr>
        <w:t>Hashai</w:t>
      </w:r>
      <w:proofErr w:type="spellEnd"/>
      <w:r w:rsidRPr="00D963D6">
        <w:rPr>
          <w:rFonts w:ascii="Verdana" w:hAnsi="Verdana" w:cs="Times New Roman"/>
          <w:sz w:val="20"/>
          <w:szCs w:val="20"/>
        </w:rPr>
        <w:t xml:space="preserve"> and Buckley, 2014; Contractor, 2013; Mathews, 2006; Narula, 2012), the role of the home country and institutional context (e.g. Buckley et al., 2012; Cavusgil and Buckley, 2016, Cavusgil et al., 2018; </w:t>
      </w:r>
      <w:proofErr w:type="spellStart"/>
      <w:r w:rsidRPr="00D963D6">
        <w:rPr>
          <w:rFonts w:ascii="Verdana" w:hAnsi="Verdana" w:cs="Times New Roman"/>
          <w:sz w:val="20"/>
          <w:szCs w:val="20"/>
        </w:rPr>
        <w:t>Corredoira</w:t>
      </w:r>
      <w:proofErr w:type="spellEnd"/>
      <w:r w:rsidRPr="00D963D6">
        <w:rPr>
          <w:rFonts w:ascii="Verdana" w:hAnsi="Verdana" w:cs="Times New Roman"/>
          <w:sz w:val="20"/>
          <w:szCs w:val="20"/>
        </w:rPr>
        <w:t xml:space="preserve"> and McDermott, 2014; De </w:t>
      </w:r>
      <w:proofErr w:type="spellStart"/>
      <w:r w:rsidRPr="00D963D6">
        <w:rPr>
          <w:rFonts w:ascii="Verdana" w:hAnsi="Verdana" w:cs="Times New Roman"/>
          <w:sz w:val="20"/>
          <w:szCs w:val="20"/>
        </w:rPr>
        <w:t>Beule</w:t>
      </w:r>
      <w:proofErr w:type="spellEnd"/>
      <w:r w:rsidRPr="00D963D6">
        <w:rPr>
          <w:rFonts w:ascii="Verdana" w:hAnsi="Verdana" w:cs="Times New Roman"/>
          <w:sz w:val="20"/>
          <w:szCs w:val="20"/>
        </w:rPr>
        <w:t xml:space="preserve">, Elia and </w:t>
      </w:r>
      <w:proofErr w:type="spellStart"/>
      <w:r w:rsidRPr="00D963D6">
        <w:rPr>
          <w:rFonts w:ascii="Verdana" w:hAnsi="Verdana" w:cs="Times New Roman"/>
          <w:sz w:val="20"/>
          <w:szCs w:val="20"/>
        </w:rPr>
        <w:t>Piscitello</w:t>
      </w:r>
      <w:proofErr w:type="spellEnd"/>
      <w:r w:rsidRPr="00D963D6">
        <w:rPr>
          <w:rFonts w:ascii="Verdana" w:hAnsi="Verdana" w:cs="Times New Roman"/>
          <w:sz w:val="20"/>
          <w:szCs w:val="20"/>
        </w:rPr>
        <w:t xml:space="preserve"> 2014; Han et a;., 2018), the impact on the host country (e.g. Buckley, Elia and Kafouros, 2014; He and Zhang, 2018), and the characteristics of innovation in and from emerging economies (e.g. Govindarajan and </w:t>
      </w:r>
      <w:proofErr w:type="spellStart"/>
      <w:r w:rsidRPr="00D963D6">
        <w:rPr>
          <w:rFonts w:ascii="Verdana" w:hAnsi="Verdana" w:cs="Times New Roman"/>
          <w:sz w:val="20"/>
          <w:szCs w:val="20"/>
        </w:rPr>
        <w:t>Ramamurti</w:t>
      </w:r>
      <w:proofErr w:type="spellEnd"/>
      <w:r w:rsidRPr="00D963D6">
        <w:rPr>
          <w:rFonts w:ascii="Verdana" w:hAnsi="Verdana" w:cs="Times New Roman"/>
          <w:sz w:val="20"/>
          <w:szCs w:val="20"/>
        </w:rPr>
        <w:t xml:space="preserve">, 2011; </w:t>
      </w:r>
      <w:proofErr w:type="spellStart"/>
      <w:r w:rsidRPr="00D963D6">
        <w:rPr>
          <w:rFonts w:ascii="Verdana" w:hAnsi="Verdana" w:cs="Times New Roman"/>
          <w:sz w:val="20"/>
          <w:szCs w:val="20"/>
        </w:rPr>
        <w:t>Mudambi</w:t>
      </w:r>
      <w:proofErr w:type="spellEnd"/>
      <w:r w:rsidRPr="00D963D6">
        <w:rPr>
          <w:rFonts w:ascii="Verdana" w:hAnsi="Verdana" w:cs="Times New Roman"/>
          <w:sz w:val="20"/>
          <w:szCs w:val="20"/>
        </w:rPr>
        <w:t xml:space="preserve">, 2008; Fu, </w:t>
      </w:r>
      <w:proofErr w:type="spellStart"/>
      <w:r w:rsidRPr="00D963D6">
        <w:rPr>
          <w:rFonts w:ascii="Verdana" w:hAnsi="Verdana" w:cs="Times New Roman"/>
          <w:sz w:val="20"/>
          <w:szCs w:val="20"/>
        </w:rPr>
        <w:t>Pietrobelli</w:t>
      </w:r>
      <w:proofErr w:type="spellEnd"/>
      <w:r w:rsidRPr="00D963D6">
        <w:rPr>
          <w:rFonts w:ascii="Verdana" w:hAnsi="Verdana" w:cs="Times New Roman"/>
          <w:sz w:val="20"/>
          <w:szCs w:val="20"/>
        </w:rPr>
        <w:t xml:space="preserve">, and </w:t>
      </w:r>
      <w:proofErr w:type="spellStart"/>
      <w:r w:rsidRPr="00D963D6">
        <w:rPr>
          <w:rFonts w:ascii="Verdana" w:hAnsi="Verdana" w:cs="Times New Roman"/>
          <w:sz w:val="20"/>
          <w:szCs w:val="20"/>
        </w:rPr>
        <w:t>Soete</w:t>
      </w:r>
      <w:proofErr w:type="spellEnd"/>
      <w:r w:rsidRPr="00D963D6">
        <w:rPr>
          <w:rFonts w:ascii="Verdana" w:hAnsi="Verdana" w:cs="Times New Roman"/>
          <w:sz w:val="20"/>
          <w:szCs w:val="20"/>
        </w:rPr>
        <w:t xml:space="preserve">, 2011). </w:t>
      </w:r>
    </w:p>
    <w:p w14:paraId="7788499D" w14:textId="77777777" w:rsidR="005C538A" w:rsidRPr="00D963D6" w:rsidRDefault="005C538A" w:rsidP="005C538A">
      <w:pPr>
        <w:autoSpaceDE w:val="0"/>
        <w:autoSpaceDN w:val="0"/>
        <w:spacing w:line="360" w:lineRule="auto"/>
        <w:rPr>
          <w:rFonts w:ascii="Verdana" w:hAnsi="Verdana" w:cs="Times New Roman"/>
          <w:sz w:val="20"/>
          <w:szCs w:val="20"/>
        </w:rPr>
      </w:pPr>
    </w:p>
    <w:p w14:paraId="427D0B0A" w14:textId="77777777" w:rsidR="005C538A" w:rsidRPr="00D963D6" w:rsidRDefault="005C538A" w:rsidP="005C538A">
      <w:pPr>
        <w:autoSpaceDE w:val="0"/>
        <w:autoSpaceDN w:val="0"/>
        <w:spacing w:line="360" w:lineRule="auto"/>
        <w:rPr>
          <w:rFonts w:ascii="Verdana" w:hAnsi="Verdana" w:cs="Times New Roman"/>
          <w:sz w:val="20"/>
          <w:szCs w:val="20"/>
        </w:rPr>
      </w:pPr>
      <w:r w:rsidRPr="00D963D6">
        <w:rPr>
          <w:rFonts w:ascii="Verdana" w:hAnsi="Verdana" w:cs="Times New Roman"/>
          <w:sz w:val="20"/>
          <w:szCs w:val="20"/>
        </w:rPr>
        <w:t xml:space="preserve">After two decades, this debate continues. The evolution of emerging economies drastically changes the rationale underlying the most recent acquisitions undertaken by EMNEs. The </w:t>
      </w:r>
      <w:r w:rsidRPr="00D963D6">
        <w:rPr>
          <w:rFonts w:ascii="Verdana" w:hAnsi="Verdana" w:cs="Times New Roman"/>
          <w:sz w:val="20"/>
          <w:szCs w:val="20"/>
        </w:rPr>
        <w:lastRenderedPageBreak/>
        <w:t xml:space="preserve">patterns of internationalization of emerging and advanced economy firms seem to be converging (Wang and Li-Ying, 2014). In emerging economies, a set of modern high-tech and knowledge-intensive sectors - highly capital-intensive and skill-dependent - have grown in parallel with sectors that traditionally rely on labor-intensive activities and natural resources, and the next wave of investments from emerging markets, in particular from China and India, is expected in these industries (Narula, 2015). These macroeconomic changes are the result of the strategies of firms. As EMNEs become more experienced, their </w:t>
      </w:r>
      <w:r w:rsidRPr="00D963D6">
        <w:rPr>
          <w:rFonts w:ascii="Verdana" w:hAnsi="Verdana" w:cs="Times New Roman"/>
          <w:i/>
          <w:iCs/>
          <w:sz w:val="20"/>
          <w:szCs w:val="20"/>
        </w:rPr>
        <w:t>modus operandi</w:t>
      </w:r>
      <w:r w:rsidRPr="00D963D6">
        <w:rPr>
          <w:rFonts w:ascii="Verdana" w:hAnsi="Verdana" w:cs="Times New Roman"/>
          <w:sz w:val="20"/>
          <w:szCs w:val="20"/>
        </w:rPr>
        <w:t xml:space="preserve"> does not greatly differ from those of advanced MNEs (Cuervo-</w:t>
      </w:r>
      <w:proofErr w:type="spellStart"/>
      <w:r w:rsidRPr="00D963D6">
        <w:rPr>
          <w:rFonts w:ascii="Verdana" w:hAnsi="Verdana" w:cs="Times New Roman"/>
          <w:sz w:val="20"/>
          <w:szCs w:val="20"/>
        </w:rPr>
        <w:t>Cazurra</w:t>
      </w:r>
      <w:proofErr w:type="spellEnd"/>
      <w:r w:rsidRPr="00D963D6">
        <w:rPr>
          <w:rFonts w:ascii="Verdana" w:hAnsi="Verdana" w:cs="Times New Roman"/>
          <w:sz w:val="20"/>
          <w:szCs w:val="20"/>
        </w:rPr>
        <w:t>, 2012). They increasingly rely on cross-border acquisitions to augment their technological, innovation, and managerial capabilities (Meyer, 2015; Buckley et al. 2016). Moreover, in recent years, EMNEs have increasingly been able to rely on more advanced assets as a result of the co-evolution of their ownership advantage and home-country national innovation systems, and their asset-seeking strategies are now supported by (rather than being a compensation for) the assets available in their home economies (Elia and Santangelo, 2017). The development of a knowledge and institutional infrastructure in emerging markets has fostered country-specific advantage and, as a result, has augmented domestic firms’ ownership advantage (</w:t>
      </w:r>
      <w:proofErr w:type="spellStart"/>
      <w:r w:rsidRPr="00D963D6">
        <w:rPr>
          <w:rFonts w:ascii="Verdana" w:hAnsi="Verdana" w:cs="Times New Roman"/>
          <w:sz w:val="20"/>
          <w:szCs w:val="20"/>
        </w:rPr>
        <w:t>Laursen</w:t>
      </w:r>
      <w:proofErr w:type="spellEnd"/>
      <w:r w:rsidRPr="00D963D6">
        <w:rPr>
          <w:rFonts w:ascii="Verdana" w:hAnsi="Verdana" w:cs="Times New Roman"/>
          <w:sz w:val="20"/>
          <w:szCs w:val="20"/>
        </w:rPr>
        <w:t xml:space="preserve"> &amp; Santangelo, 2017) allowing these countries to participate more fully in the global division of labor of knowledge production.</w:t>
      </w:r>
    </w:p>
    <w:p w14:paraId="521D53FA" w14:textId="77777777" w:rsidR="005C538A" w:rsidRPr="00D963D6" w:rsidRDefault="005C538A" w:rsidP="005C538A">
      <w:pPr>
        <w:autoSpaceDE w:val="0"/>
        <w:autoSpaceDN w:val="0"/>
        <w:spacing w:line="360" w:lineRule="auto"/>
        <w:rPr>
          <w:rFonts w:ascii="Verdana" w:hAnsi="Verdana" w:cs="Times New Roman"/>
          <w:sz w:val="20"/>
          <w:szCs w:val="20"/>
        </w:rPr>
      </w:pPr>
    </w:p>
    <w:p w14:paraId="4A2B7363" w14:textId="77777777" w:rsidR="005C538A" w:rsidRPr="00D963D6" w:rsidRDefault="005C538A" w:rsidP="005C538A">
      <w:pPr>
        <w:autoSpaceDE w:val="0"/>
        <w:autoSpaceDN w:val="0"/>
        <w:spacing w:line="360" w:lineRule="auto"/>
        <w:rPr>
          <w:rFonts w:ascii="Verdana" w:hAnsi="Verdana" w:cs="Times New Roman"/>
          <w:sz w:val="20"/>
          <w:szCs w:val="20"/>
        </w:rPr>
      </w:pPr>
      <w:r w:rsidRPr="00D963D6">
        <w:rPr>
          <w:rFonts w:ascii="Verdana" w:hAnsi="Verdana" w:cs="Times New Roman"/>
          <w:sz w:val="20"/>
          <w:szCs w:val="20"/>
        </w:rPr>
        <w:t xml:space="preserve">In addition, the increasing exploitation of new digital technologies opens further opportunities - but also challenges - for EMNEs. Indeed, on the one hand, the access to digital technologies (e.g. E-commerce, 3D printing, Internet of things, Big Data, Additive manufacturing, Smart Supply chains, Robotics)  enable EMNEs to increase both their productivity in manufacturing activities and their effectiveness in accessing new markets, making them more competitive in the global arena. On the other hand, multinational companies from advanced economies can not only benefit from the same advantages, but also can exploit new technologies to reduce production costs (Strange &amp; </w:t>
      </w:r>
      <w:proofErr w:type="spellStart"/>
      <w:r w:rsidRPr="00D963D6">
        <w:rPr>
          <w:rFonts w:ascii="Verdana" w:hAnsi="Verdana" w:cs="Times New Roman"/>
          <w:sz w:val="20"/>
          <w:szCs w:val="20"/>
        </w:rPr>
        <w:t>Zucchella</w:t>
      </w:r>
      <w:proofErr w:type="spellEnd"/>
      <w:r w:rsidRPr="00D963D6">
        <w:rPr>
          <w:rFonts w:ascii="Verdana" w:hAnsi="Verdana" w:cs="Times New Roman"/>
          <w:sz w:val="20"/>
          <w:szCs w:val="20"/>
        </w:rPr>
        <w:t>, 2017), enabling them to challenge EMNEs on their own ground, given that EMNEs have largely developed their competitive advantage using the lower production costs offered by their home countries.</w:t>
      </w:r>
    </w:p>
    <w:p w14:paraId="7FF6876F" w14:textId="77777777" w:rsidR="005C538A" w:rsidRPr="00D963D6" w:rsidRDefault="005C538A" w:rsidP="005C538A">
      <w:pPr>
        <w:autoSpaceDE w:val="0"/>
        <w:autoSpaceDN w:val="0"/>
        <w:spacing w:line="360" w:lineRule="auto"/>
        <w:rPr>
          <w:rFonts w:ascii="Verdana" w:hAnsi="Verdana" w:cs="Times New Roman"/>
          <w:sz w:val="20"/>
          <w:szCs w:val="20"/>
        </w:rPr>
      </w:pPr>
    </w:p>
    <w:p w14:paraId="2FB6B1CC" w14:textId="77777777" w:rsidR="005C538A" w:rsidRPr="00D963D6" w:rsidRDefault="005C538A" w:rsidP="005C538A">
      <w:pPr>
        <w:autoSpaceDE w:val="0"/>
        <w:autoSpaceDN w:val="0"/>
        <w:spacing w:line="360" w:lineRule="auto"/>
        <w:rPr>
          <w:rFonts w:ascii="Verdana" w:hAnsi="Verdana" w:cs="Times New Roman"/>
          <w:sz w:val="20"/>
          <w:szCs w:val="20"/>
        </w:rPr>
      </w:pPr>
      <w:r w:rsidRPr="00D963D6">
        <w:rPr>
          <w:rFonts w:ascii="Verdana" w:hAnsi="Verdana" w:cs="Times New Roman"/>
          <w:sz w:val="20"/>
          <w:szCs w:val="20"/>
        </w:rPr>
        <w:t xml:space="preserve">These developments seem to suggest that, while inquiries into EMNEs must continue, there is a need for an agenda-setting effort to identify trends and topics that deserve further scholarly attention. </w:t>
      </w:r>
      <w:proofErr w:type="gramStart"/>
      <w:r w:rsidRPr="00D963D6">
        <w:rPr>
          <w:rFonts w:ascii="Verdana" w:hAnsi="Verdana" w:cs="Times New Roman"/>
          <w:sz w:val="20"/>
          <w:szCs w:val="20"/>
        </w:rPr>
        <w:t>In particular, we</w:t>
      </w:r>
      <w:proofErr w:type="gramEnd"/>
      <w:r w:rsidRPr="00D963D6">
        <w:rPr>
          <w:rFonts w:ascii="Verdana" w:hAnsi="Verdana" w:cs="Times New Roman"/>
          <w:sz w:val="20"/>
          <w:szCs w:val="20"/>
        </w:rPr>
        <w:t xml:space="preserve"> suggest the need to explore an overarching research question, i.e. “What is still ‘emerging’ about EMNEs?” This special issue aims to extend the </w:t>
      </w:r>
      <w:r w:rsidRPr="00D963D6">
        <w:rPr>
          <w:rFonts w:ascii="Verdana" w:hAnsi="Verdana" w:cs="Times New Roman"/>
          <w:sz w:val="20"/>
          <w:szCs w:val="20"/>
        </w:rPr>
        <w:lastRenderedPageBreak/>
        <w:t xml:space="preserve">research agenda on EMNE internationalization. We propose some specific key questions to stimulate research on critical, yet unexplored issues related to EMNEs. </w:t>
      </w:r>
    </w:p>
    <w:p w14:paraId="0ECFBE59" w14:textId="77777777" w:rsidR="005C538A" w:rsidRPr="00D963D6" w:rsidRDefault="005C538A" w:rsidP="005C538A">
      <w:pPr>
        <w:autoSpaceDE w:val="0"/>
        <w:autoSpaceDN w:val="0"/>
        <w:spacing w:line="360" w:lineRule="auto"/>
        <w:rPr>
          <w:rFonts w:ascii="Verdana" w:hAnsi="Verdana" w:cs="Times New Roman"/>
          <w:sz w:val="20"/>
          <w:szCs w:val="20"/>
        </w:rPr>
      </w:pPr>
    </w:p>
    <w:p w14:paraId="52C60AA3" w14:textId="77777777" w:rsidR="005C538A" w:rsidRPr="00D963D6" w:rsidRDefault="005C538A" w:rsidP="005C538A">
      <w:pPr>
        <w:pStyle w:val="ListParagraph"/>
        <w:numPr>
          <w:ilvl w:val="0"/>
          <w:numId w:val="1"/>
        </w:numPr>
        <w:autoSpaceDE w:val="0"/>
        <w:autoSpaceDN w:val="0"/>
        <w:spacing w:line="360" w:lineRule="auto"/>
        <w:rPr>
          <w:rFonts w:ascii="Verdana" w:hAnsi="Verdana" w:cs="Times New Roman"/>
          <w:sz w:val="20"/>
          <w:szCs w:val="20"/>
        </w:rPr>
      </w:pPr>
      <w:r w:rsidRPr="00D963D6">
        <w:rPr>
          <w:rFonts w:ascii="Verdana" w:hAnsi="Verdana" w:cs="Times New Roman"/>
          <w:sz w:val="20"/>
          <w:szCs w:val="20"/>
        </w:rPr>
        <w:t xml:space="preserve">Ownership advantage: What types of ownership advantages are leveraged by EMNEs for their internationalization in the contemporary environment? Are they different from those of the early waves of internationalization? Are they still different from those possessed by MNEs from advanced economies? Are traditional ownership advantages still relevant for the internationalization of EMNEs? </w:t>
      </w:r>
    </w:p>
    <w:p w14:paraId="1292F2CC" w14:textId="77777777" w:rsidR="005C538A" w:rsidRPr="00D963D6" w:rsidRDefault="005C538A" w:rsidP="005C538A">
      <w:pPr>
        <w:pStyle w:val="ListParagraph"/>
        <w:numPr>
          <w:ilvl w:val="0"/>
          <w:numId w:val="1"/>
        </w:numPr>
        <w:autoSpaceDE w:val="0"/>
        <w:autoSpaceDN w:val="0"/>
        <w:spacing w:line="360" w:lineRule="auto"/>
        <w:rPr>
          <w:rFonts w:ascii="Verdana" w:hAnsi="Verdana" w:cs="Times New Roman"/>
          <w:sz w:val="20"/>
          <w:szCs w:val="20"/>
        </w:rPr>
      </w:pPr>
      <w:r w:rsidRPr="00D963D6">
        <w:rPr>
          <w:rFonts w:ascii="Verdana" w:hAnsi="Verdana" w:cs="Times New Roman"/>
          <w:sz w:val="20"/>
          <w:szCs w:val="20"/>
        </w:rPr>
        <w:t xml:space="preserve">Host countries: What type of host country and entry mode choice do EMNEs prefer today? Do EMNEs still prefer more risky host locations? How does the host country context (in terms of institutions, policies, industrial setting, culture, national innovation systems) play a role in attracting a new wave of investments from EMNEs? Why are EMNEs investing in other emerging markets? </w:t>
      </w:r>
    </w:p>
    <w:p w14:paraId="2A793EF2" w14:textId="77777777" w:rsidR="005C538A" w:rsidRPr="00D963D6" w:rsidRDefault="005C538A" w:rsidP="005C538A">
      <w:pPr>
        <w:pStyle w:val="ListParagraph"/>
        <w:numPr>
          <w:ilvl w:val="0"/>
          <w:numId w:val="1"/>
        </w:numPr>
        <w:autoSpaceDE w:val="0"/>
        <w:autoSpaceDN w:val="0"/>
        <w:spacing w:line="360" w:lineRule="auto"/>
        <w:rPr>
          <w:rFonts w:ascii="Verdana" w:hAnsi="Verdana" w:cs="Times New Roman"/>
          <w:sz w:val="20"/>
          <w:szCs w:val="20"/>
        </w:rPr>
      </w:pPr>
      <w:r w:rsidRPr="00D963D6">
        <w:rPr>
          <w:rFonts w:ascii="Verdana" w:hAnsi="Verdana" w:cs="Times New Roman"/>
          <w:sz w:val="20"/>
          <w:szCs w:val="20"/>
        </w:rPr>
        <w:t>Home countries: How does the home country context (in terms of market, consumers, institutions, policies, industrial development, national innovation system etc.) of EMNEs evolve? Does the home country support internationalization of its EMNEs in a different way from the past? What industries will future EMNEs come from? What are the new geographies (e.g. Africa) from whence EMNEs are emerging?</w:t>
      </w:r>
    </w:p>
    <w:p w14:paraId="0870A4A8" w14:textId="77777777" w:rsidR="005C538A" w:rsidRPr="00D963D6" w:rsidRDefault="005C538A" w:rsidP="005C538A">
      <w:pPr>
        <w:pStyle w:val="ListParagraph"/>
        <w:numPr>
          <w:ilvl w:val="0"/>
          <w:numId w:val="1"/>
        </w:numPr>
        <w:autoSpaceDE w:val="0"/>
        <w:autoSpaceDN w:val="0"/>
        <w:spacing w:line="360" w:lineRule="auto"/>
        <w:rPr>
          <w:rFonts w:ascii="Verdana" w:hAnsi="Verdana" w:cs="Times New Roman"/>
          <w:sz w:val="20"/>
          <w:szCs w:val="20"/>
        </w:rPr>
      </w:pPr>
      <w:r w:rsidRPr="00D963D6">
        <w:rPr>
          <w:rFonts w:ascii="Verdana" w:hAnsi="Verdana" w:cs="Times New Roman"/>
          <w:sz w:val="20"/>
          <w:szCs w:val="20"/>
        </w:rPr>
        <w:t xml:space="preserve">Distance: Do EMNEs still face large institutional distances in investing abroad? If so, does the direction of institutional difference matter? (from emerging to advanced economies rather than vice-versa). Do EMNEs still face a strong liability of </w:t>
      </w:r>
      <w:proofErr w:type="spellStart"/>
      <w:r w:rsidRPr="00D963D6">
        <w:rPr>
          <w:rFonts w:ascii="Verdana" w:hAnsi="Verdana" w:cs="Times New Roman"/>
          <w:sz w:val="20"/>
          <w:szCs w:val="20"/>
        </w:rPr>
        <w:t>emergingness</w:t>
      </w:r>
      <w:proofErr w:type="spellEnd"/>
      <w:r w:rsidRPr="00D963D6">
        <w:rPr>
          <w:rFonts w:ascii="Verdana" w:hAnsi="Verdana" w:cs="Times New Roman"/>
          <w:sz w:val="20"/>
          <w:szCs w:val="20"/>
        </w:rPr>
        <w:t xml:space="preserve"> and </w:t>
      </w:r>
      <w:proofErr w:type="spellStart"/>
      <w:r w:rsidRPr="00D963D6">
        <w:rPr>
          <w:rFonts w:ascii="Verdana" w:hAnsi="Verdana" w:cs="Times New Roman"/>
          <w:sz w:val="20"/>
          <w:szCs w:val="20"/>
        </w:rPr>
        <w:t>outsidership</w:t>
      </w:r>
      <w:proofErr w:type="spellEnd"/>
      <w:r w:rsidRPr="00D963D6">
        <w:rPr>
          <w:rFonts w:ascii="Verdana" w:hAnsi="Verdana" w:cs="Times New Roman"/>
          <w:sz w:val="20"/>
          <w:szCs w:val="20"/>
        </w:rPr>
        <w:t>? What is the contribution of the diaspora from the emerging source country to reducing (or augmenting) cultural and institutional distances?</w:t>
      </w:r>
    </w:p>
    <w:p w14:paraId="6469733B" w14:textId="77777777" w:rsidR="005C538A" w:rsidRPr="00D963D6" w:rsidRDefault="005C538A" w:rsidP="005C538A">
      <w:pPr>
        <w:pStyle w:val="ListParagraph"/>
        <w:numPr>
          <w:ilvl w:val="0"/>
          <w:numId w:val="1"/>
        </w:numPr>
        <w:autoSpaceDE w:val="0"/>
        <w:autoSpaceDN w:val="0"/>
        <w:spacing w:line="360" w:lineRule="auto"/>
        <w:rPr>
          <w:rFonts w:ascii="Verdana" w:hAnsi="Verdana" w:cs="Times New Roman"/>
          <w:sz w:val="20"/>
          <w:szCs w:val="20"/>
        </w:rPr>
      </w:pPr>
      <w:r w:rsidRPr="00D963D6">
        <w:rPr>
          <w:rFonts w:ascii="Verdana" w:hAnsi="Verdana" w:cs="Times New Roman"/>
          <w:sz w:val="20"/>
          <w:szCs w:val="20"/>
        </w:rPr>
        <w:t xml:space="preserve">Governance: Do EMNEs (and </w:t>
      </w:r>
      <w:proofErr w:type="gramStart"/>
      <w:r w:rsidRPr="00D963D6">
        <w:rPr>
          <w:rFonts w:ascii="Verdana" w:hAnsi="Verdana" w:cs="Times New Roman"/>
          <w:sz w:val="20"/>
          <w:szCs w:val="20"/>
        </w:rPr>
        <w:t>in particular Chinese</w:t>
      </w:r>
      <w:proofErr w:type="gramEnd"/>
      <w:r w:rsidRPr="00D963D6">
        <w:rPr>
          <w:rFonts w:ascii="Verdana" w:hAnsi="Verdana" w:cs="Times New Roman"/>
          <w:sz w:val="20"/>
          <w:szCs w:val="20"/>
        </w:rPr>
        <w:t xml:space="preserve"> and Indian companies) still utilize different management practices than advanced MNEs (e.g., as regards the transparency, the use of tax havens, capital flight)? Do State-Owned Enterprises, Business Groups and Sovereign Wealth Funds display different strategic behaviors from traditional MNEs? How can we disentangle the heterogeneity within each of these groups? </w:t>
      </w:r>
    </w:p>
    <w:p w14:paraId="3C769319" w14:textId="77777777" w:rsidR="005C538A" w:rsidRPr="00D963D6" w:rsidRDefault="005C538A" w:rsidP="005C538A">
      <w:pPr>
        <w:pStyle w:val="ListParagraph"/>
        <w:numPr>
          <w:ilvl w:val="0"/>
          <w:numId w:val="1"/>
        </w:numPr>
        <w:autoSpaceDE w:val="0"/>
        <w:autoSpaceDN w:val="0"/>
        <w:spacing w:line="360" w:lineRule="auto"/>
        <w:rPr>
          <w:rFonts w:ascii="Verdana" w:hAnsi="Verdana" w:cs="Times New Roman"/>
          <w:sz w:val="20"/>
          <w:szCs w:val="20"/>
        </w:rPr>
      </w:pPr>
      <w:r w:rsidRPr="00D963D6">
        <w:rPr>
          <w:rFonts w:ascii="Verdana" w:hAnsi="Verdana" w:cs="Times New Roman"/>
          <w:sz w:val="20"/>
          <w:szCs w:val="20"/>
        </w:rPr>
        <w:t xml:space="preserve">Performance of the acquired firms: What is the impact on the medium and long-run financial and innovation performance of firms acquired by EMNEs? Have they </w:t>
      </w:r>
      <w:r w:rsidRPr="00D963D6">
        <w:rPr>
          <w:rFonts w:ascii="Verdana" w:hAnsi="Verdana" w:cs="Times New Roman"/>
          <w:sz w:val="20"/>
          <w:szCs w:val="20"/>
        </w:rPr>
        <w:lastRenderedPageBreak/>
        <w:t xml:space="preserve">expanded their sales or increased their internationalization (especially towards the EMNEs’ home countries)? Are they gaining or losing employees? </w:t>
      </w:r>
    </w:p>
    <w:p w14:paraId="2BF5F8CE" w14:textId="77777777" w:rsidR="005C538A" w:rsidRPr="00D963D6" w:rsidRDefault="005C538A" w:rsidP="005C538A">
      <w:pPr>
        <w:pStyle w:val="ListParagraph"/>
        <w:numPr>
          <w:ilvl w:val="0"/>
          <w:numId w:val="1"/>
        </w:numPr>
        <w:autoSpaceDE w:val="0"/>
        <w:autoSpaceDN w:val="0"/>
        <w:spacing w:line="360" w:lineRule="auto"/>
        <w:rPr>
          <w:rFonts w:ascii="Verdana" w:hAnsi="Verdana" w:cs="Times New Roman"/>
          <w:sz w:val="20"/>
          <w:szCs w:val="20"/>
        </w:rPr>
      </w:pPr>
      <w:r w:rsidRPr="00D963D6">
        <w:rPr>
          <w:rFonts w:ascii="Verdana" w:hAnsi="Verdana" w:cs="Times New Roman"/>
          <w:sz w:val="20"/>
          <w:szCs w:val="20"/>
        </w:rPr>
        <w:t xml:space="preserve">Performance of the EMNEs: What is the impact of EMNEs’ portfolio of investments on their financial and innovation performance? Are they performing worse or better than MNEs from advanced economies? Did they manage to catch-up in terms of technology and productivity? Is the effect of cultural and institutional diversity on performance </w:t>
      </w:r>
      <w:proofErr w:type="gramStart"/>
      <w:r w:rsidRPr="00D963D6">
        <w:rPr>
          <w:rFonts w:ascii="Verdana" w:hAnsi="Verdana" w:cs="Times New Roman"/>
          <w:sz w:val="20"/>
          <w:szCs w:val="20"/>
        </w:rPr>
        <w:t>similar to</w:t>
      </w:r>
      <w:proofErr w:type="gramEnd"/>
      <w:r w:rsidRPr="00D963D6">
        <w:rPr>
          <w:rFonts w:ascii="Verdana" w:hAnsi="Verdana" w:cs="Times New Roman"/>
          <w:sz w:val="20"/>
          <w:szCs w:val="20"/>
        </w:rPr>
        <w:t xml:space="preserve"> their early investments? </w:t>
      </w:r>
    </w:p>
    <w:p w14:paraId="1656BEB2" w14:textId="77777777" w:rsidR="005C538A" w:rsidRPr="00D963D6" w:rsidRDefault="005C538A" w:rsidP="005C538A">
      <w:pPr>
        <w:pStyle w:val="ListParagraph"/>
        <w:numPr>
          <w:ilvl w:val="0"/>
          <w:numId w:val="1"/>
        </w:numPr>
        <w:autoSpaceDE w:val="0"/>
        <w:autoSpaceDN w:val="0"/>
        <w:spacing w:after="0" w:line="360" w:lineRule="auto"/>
        <w:rPr>
          <w:rFonts w:ascii="Verdana" w:hAnsi="Verdana" w:cs="Times New Roman"/>
          <w:sz w:val="20"/>
          <w:szCs w:val="20"/>
        </w:rPr>
      </w:pPr>
      <w:r w:rsidRPr="00D963D6">
        <w:rPr>
          <w:rFonts w:ascii="Verdana" w:hAnsi="Verdana" w:cs="Times New Roman"/>
          <w:sz w:val="20"/>
          <w:szCs w:val="20"/>
        </w:rPr>
        <w:t xml:space="preserve">Knowledge and capabilities: How </w:t>
      </w:r>
      <w:proofErr w:type="gramStart"/>
      <w:r w:rsidRPr="00D963D6">
        <w:rPr>
          <w:rFonts w:ascii="Verdana" w:hAnsi="Verdana" w:cs="Times New Roman"/>
          <w:sz w:val="20"/>
          <w:szCs w:val="20"/>
        </w:rPr>
        <w:t>does</w:t>
      </w:r>
      <w:proofErr w:type="gramEnd"/>
      <w:r w:rsidRPr="00D963D6">
        <w:rPr>
          <w:rFonts w:ascii="Verdana" w:hAnsi="Verdana" w:cs="Times New Roman"/>
          <w:sz w:val="20"/>
          <w:szCs w:val="20"/>
        </w:rPr>
        <w:t xml:space="preserve"> internationalization contribute to enhancing the knowledge and capabilities of EMNEs? Have EMNEs been able to climb the value chain? If yes, what type of path and trajectories are they following? Are EMNEs still using a knowledge-utilization (i.e. more imitation-oriented) approach or are they increasingly adopting a knowledge-creation (i.e. more innovation-oriented) strategy? Are EMNEs capable of integrating and orchestrating knowledge and resources stemming from their portfolio of investments? </w:t>
      </w:r>
    </w:p>
    <w:p w14:paraId="18DE6D8F" w14:textId="77777777" w:rsidR="005C538A" w:rsidRPr="00D963D6" w:rsidRDefault="005C538A" w:rsidP="005C538A">
      <w:pPr>
        <w:pStyle w:val="ListParagraph"/>
        <w:numPr>
          <w:ilvl w:val="0"/>
          <w:numId w:val="1"/>
        </w:numPr>
        <w:autoSpaceDE w:val="0"/>
        <w:autoSpaceDN w:val="0"/>
        <w:spacing w:after="0" w:line="360" w:lineRule="auto"/>
        <w:rPr>
          <w:rFonts w:ascii="Verdana" w:hAnsi="Verdana" w:cs="Times New Roman"/>
          <w:sz w:val="20"/>
          <w:szCs w:val="20"/>
        </w:rPr>
      </w:pPr>
      <w:r w:rsidRPr="00D963D6">
        <w:rPr>
          <w:rFonts w:ascii="Verdana" w:hAnsi="Verdana" w:cs="Times New Roman"/>
          <w:sz w:val="20"/>
          <w:szCs w:val="20"/>
        </w:rPr>
        <w:t xml:space="preserve">Digital technologies: What are the challenges and the opportunities offered by digital technologies to EMNEs? Are they different with respect to those faced by traditional MNEs from advanced economies? Will digital technologies change the internationalization patterns and strategies of EMNEs? Will they help EMNEs to accelerate and catch-up with traditional MNEs, thus making the former less and less “emerging”? Will the “fourth industrial revolution” benefit mainly the advanced MNEs, e.g. in terms of lower production costs, thus weakening some of EMNEs’ traditional competitive advantages?  </w:t>
      </w:r>
    </w:p>
    <w:p w14:paraId="281DD7F3" w14:textId="77777777" w:rsidR="005C538A" w:rsidRPr="00D963D6" w:rsidRDefault="005C538A" w:rsidP="005C538A">
      <w:pPr>
        <w:pStyle w:val="ListParagraph"/>
        <w:numPr>
          <w:ilvl w:val="0"/>
          <w:numId w:val="1"/>
        </w:numPr>
        <w:autoSpaceDE w:val="0"/>
        <w:autoSpaceDN w:val="0"/>
        <w:spacing w:after="0" w:line="360" w:lineRule="auto"/>
        <w:rPr>
          <w:rFonts w:ascii="Verdana" w:hAnsi="Verdana" w:cs="Times New Roman"/>
          <w:sz w:val="20"/>
          <w:szCs w:val="20"/>
        </w:rPr>
      </w:pPr>
      <w:r w:rsidRPr="00D963D6">
        <w:rPr>
          <w:rFonts w:ascii="Verdana" w:hAnsi="Verdana" w:cs="Times New Roman"/>
          <w:sz w:val="20"/>
          <w:szCs w:val="20"/>
        </w:rPr>
        <w:t xml:space="preserve">How will EMNEs deal with the forthcoming uncertainty and turbulent environment arising from the Worldwide Pandemic and from other recent phenomena like Brexit, the rise of Nationalisms and Populisms, the Trade war between USA and China and the effects of the Climate Change? Will EMNEs gain or lose competitiveness and market shares? Will advanced MNEs </w:t>
      </w:r>
      <w:proofErr w:type="spellStart"/>
      <w:r w:rsidRPr="00D963D6">
        <w:rPr>
          <w:rFonts w:ascii="Verdana" w:hAnsi="Verdana" w:cs="Times New Roman"/>
          <w:sz w:val="20"/>
          <w:szCs w:val="20"/>
        </w:rPr>
        <w:t>reshore</w:t>
      </w:r>
      <w:proofErr w:type="spellEnd"/>
      <w:r w:rsidRPr="00D963D6">
        <w:rPr>
          <w:rFonts w:ascii="Verdana" w:hAnsi="Verdana" w:cs="Times New Roman"/>
          <w:sz w:val="20"/>
          <w:szCs w:val="20"/>
        </w:rPr>
        <w:t xml:space="preserve"> some activities to decrease uncertainty, thus turning global into regional value chains and downsizing the role of EMNEs? How will EMNEs adapt and change their internationalization strategies to cope with these contingencies?</w:t>
      </w:r>
    </w:p>
    <w:p w14:paraId="1BF24651" w14:textId="77777777" w:rsidR="005C538A" w:rsidRPr="00D963D6" w:rsidRDefault="005C538A" w:rsidP="005C538A">
      <w:pPr>
        <w:autoSpaceDE w:val="0"/>
        <w:autoSpaceDN w:val="0"/>
        <w:spacing w:line="360" w:lineRule="auto"/>
        <w:rPr>
          <w:rFonts w:ascii="Verdana" w:hAnsi="Verdana" w:cs="Times New Roman"/>
          <w:sz w:val="20"/>
          <w:szCs w:val="20"/>
        </w:rPr>
      </w:pPr>
    </w:p>
    <w:p w14:paraId="38805E61" w14:textId="77777777" w:rsidR="005C538A" w:rsidRPr="00D963D6" w:rsidRDefault="005C538A" w:rsidP="005C538A">
      <w:pPr>
        <w:autoSpaceDE w:val="0"/>
        <w:autoSpaceDN w:val="0"/>
        <w:spacing w:line="360" w:lineRule="auto"/>
        <w:rPr>
          <w:rFonts w:ascii="Verdana" w:hAnsi="Verdana" w:cs="Times New Roman"/>
          <w:sz w:val="20"/>
          <w:szCs w:val="20"/>
        </w:rPr>
      </w:pPr>
      <w:r w:rsidRPr="00D963D6">
        <w:rPr>
          <w:rFonts w:ascii="Verdana" w:hAnsi="Verdana" w:cs="Times New Roman"/>
          <w:sz w:val="20"/>
          <w:szCs w:val="20"/>
        </w:rPr>
        <w:t xml:space="preserve">These research questions do not intend to be exhaustive. Rather they lay the foundations for fertilizing the international business and management literature by initiating thought-provoking research. To achieve this goal, the special issue aims at attracting contributions </w:t>
      </w:r>
      <w:r w:rsidRPr="00D963D6">
        <w:rPr>
          <w:rFonts w:ascii="Verdana" w:hAnsi="Verdana" w:cs="Times New Roman"/>
          <w:sz w:val="20"/>
          <w:szCs w:val="20"/>
        </w:rPr>
        <w:lastRenderedPageBreak/>
        <w:t xml:space="preserve">from a variety of disciplines such as international business and management, corporate governance, strategy and economic geography, with the aim of making multi-disciplinarily a hallmark of the special issue. </w:t>
      </w:r>
    </w:p>
    <w:p w14:paraId="2FB1779F" w14:textId="77777777" w:rsidR="005C538A" w:rsidRPr="00D963D6" w:rsidRDefault="005C538A" w:rsidP="005C538A">
      <w:pPr>
        <w:autoSpaceDE w:val="0"/>
        <w:autoSpaceDN w:val="0"/>
        <w:spacing w:line="360" w:lineRule="auto"/>
        <w:rPr>
          <w:rFonts w:ascii="Verdana" w:hAnsi="Verdana" w:cs="Times New Roman"/>
          <w:sz w:val="20"/>
          <w:szCs w:val="20"/>
        </w:rPr>
      </w:pPr>
    </w:p>
    <w:p w14:paraId="4646D412" w14:textId="77777777" w:rsidR="005C538A" w:rsidRPr="00D963D6" w:rsidRDefault="005C538A" w:rsidP="005C538A">
      <w:pPr>
        <w:autoSpaceDE w:val="0"/>
        <w:autoSpaceDN w:val="0"/>
        <w:spacing w:line="360" w:lineRule="auto"/>
        <w:rPr>
          <w:rFonts w:ascii="Verdana" w:hAnsi="Verdana" w:cs="Times New Roman"/>
          <w:b/>
          <w:bCs/>
          <w:sz w:val="20"/>
          <w:szCs w:val="20"/>
        </w:rPr>
      </w:pPr>
      <w:r w:rsidRPr="00D963D6">
        <w:rPr>
          <w:rFonts w:ascii="Verdana" w:hAnsi="Verdana" w:cs="Times New Roman"/>
          <w:b/>
          <w:bCs/>
          <w:sz w:val="20"/>
          <w:szCs w:val="20"/>
        </w:rPr>
        <w:t xml:space="preserve">Paper Submission </w:t>
      </w:r>
    </w:p>
    <w:p w14:paraId="2642910E" w14:textId="77777777" w:rsidR="005C538A" w:rsidRPr="00D963D6" w:rsidRDefault="005C538A" w:rsidP="005C538A">
      <w:pPr>
        <w:autoSpaceDE w:val="0"/>
        <w:autoSpaceDN w:val="0"/>
        <w:spacing w:line="360" w:lineRule="auto"/>
        <w:rPr>
          <w:rFonts w:ascii="Verdana" w:hAnsi="Verdana" w:cs="Times New Roman"/>
          <w:b/>
          <w:bCs/>
          <w:sz w:val="20"/>
          <w:szCs w:val="20"/>
        </w:rPr>
      </w:pPr>
    </w:p>
    <w:p w14:paraId="62C389BF" w14:textId="77777777" w:rsidR="005C538A" w:rsidRPr="00D963D6" w:rsidRDefault="005C538A" w:rsidP="005C538A">
      <w:pPr>
        <w:autoSpaceDE w:val="0"/>
        <w:autoSpaceDN w:val="0"/>
        <w:spacing w:before="120" w:after="120" w:line="360" w:lineRule="auto"/>
        <w:rPr>
          <w:rFonts w:ascii="Verdana" w:hAnsi="Verdana" w:cs="Times New Roman"/>
          <w:sz w:val="20"/>
          <w:szCs w:val="20"/>
        </w:rPr>
      </w:pPr>
      <w:r w:rsidRPr="00D963D6">
        <w:rPr>
          <w:rFonts w:ascii="Verdana" w:hAnsi="Verdana" w:cs="Times New Roman"/>
          <w:sz w:val="20"/>
          <w:szCs w:val="20"/>
        </w:rPr>
        <w:t>Authors intending to submit a full manuscript for this special issue must submit an extended abstract, not more than 1,000 words (excluding references) via email to Stefano Elia (</w:t>
      </w:r>
      <w:hyperlink r:id="rId9" w:history="1">
        <w:r w:rsidRPr="00D963D6">
          <w:rPr>
            <w:rStyle w:val="Hyperlink"/>
            <w:rFonts w:ascii="Verdana" w:hAnsi="Verdana" w:cs="Times New Roman"/>
            <w:sz w:val="20"/>
            <w:szCs w:val="20"/>
          </w:rPr>
          <w:t>stefano.elia@polimi.it</w:t>
        </w:r>
      </w:hyperlink>
      <w:r w:rsidRPr="00D963D6">
        <w:rPr>
          <w:rStyle w:val="Hyperlink"/>
          <w:rFonts w:ascii="Verdana" w:hAnsi="Verdana" w:cs="Times New Roman"/>
          <w:sz w:val="20"/>
          <w:szCs w:val="20"/>
        </w:rPr>
        <w:t>)</w:t>
      </w:r>
      <w:r w:rsidRPr="00D963D6">
        <w:rPr>
          <w:rFonts w:ascii="Verdana" w:hAnsi="Verdana" w:cs="Times New Roman"/>
          <w:sz w:val="20"/>
          <w:szCs w:val="20"/>
        </w:rPr>
        <w:t xml:space="preserve"> no later 31 July 2020. Authors shortlisted will be required to submit a full manuscript by</w:t>
      </w:r>
      <w:r w:rsidRPr="00D963D6">
        <w:rPr>
          <w:rFonts w:ascii="Verdana" w:hAnsi="Verdana" w:cs="Times New Roman"/>
          <w:sz w:val="20"/>
          <w:szCs w:val="20"/>
          <w:vertAlign w:val="superscript"/>
        </w:rPr>
        <w:t xml:space="preserve"> </w:t>
      </w:r>
      <w:r w:rsidRPr="00D963D6">
        <w:rPr>
          <w:rFonts w:ascii="Verdana" w:hAnsi="Verdana" w:cs="Times New Roman"/>
          <w:sz w:val="20"/>
          <w:szCs w:val="20"/>
        </w:rPr>
        <w:t xml:space="preserve">31 January 2021. </w:t>
      </w:r>
    </w:p>
    <w:p w14:paraId="02883F0E" w14:textId="77777777" w:rsidR="005C538A" w:rsidRPr="00D963D6" w:rsidRDefault="005C538A" w:rsidP="005C538A">
      <w:pPr>
        <w:autoSpaceDE w:val="0"/>
        <w:autoSpaceDN w:val="0"/>
        <w:spacing w:line="360" w:lineRule="auto"/>
        <w:rPr>
          <w:rFonts w:ascii="Verdana" w:hAnsi="Verdana" w:cs="Times New Roman"/>
          <w:sz w:val="20"/>
          <w:szCs w:val="20"/>
        </w:rPr>
      </w:pPr>
    </w:p>
    <w:p w14:paraId="3FE7A752" w14:textId="77777777" w:rsidR="005C538A" w:rsidRPr="00D963D6" w:rsidRDefault="005C538A" w:rsidP="005C538A">
      <w:pPr>
        <w:autoSpaceDE w:val="0"/>
        <w:autoSpaceDN w:val="0"/>
        <w:spacing w:line="360" w:lineRule="auto"/>
        <w:rPr>
          <w:rFonts w:ascii="Verdana" w:hAnsi="Verdana" w:cs="Times New Roman"/>
          <w:sz w:val="20"/>
          <w:szCs w:val="20"/>
        </w:rPr>
      </w:pPr>
      <w:r w:rsidRPr="00D963D6">
        <w:rPr>
          <w:rFonts w:ascii="Verdana" w:hAnsi="Verdana" w:cs="Times New Roman"/>
          <w:sz w:val="20"/>
          <w:szCs w:val="20"/>
        </w:rPr>
        <w:t xml:space="preserve">The guest editors intend to host a paper development workshop for authors shortlisted sometimes in October/November 2020 in Leeds, U.K. or Atlanta, USA. This will assist authors in making progress on their manuscript and receive consultation from the guest editors. </w:t>
      </w:r>
    </w:p>
    <w:p w14:paraId="350AC737" w14:textId="77777777" w:rsidR="005C538A" w:rsidRPr="00D963D6" w:rsidRDefault="005C538A" w:rsidP="005C538A">
      <w:pPr>
        <w:autoSpaceDE w:val="0"/>
        <w:autoSpaceDN w:val="0"/>
        <w:spacing w:line="360" w:lineRule="auto"/>
        <w:rPr>
          <w:rFonts w:ascii="Verdana" w:hAnsi="Verdana" w:cs="Times New Roman"/>
          <w:sz w:val="20"/>
          <w:szCs w:val="20"/>
        </w:rPr>
      </w:pPr>
    </w:p>
    <w:p w14:paraId="79894BF7" w14:textId="77777777" w:rsidR="005C538A" w:rsidRPr="00D963D6" w:rsidRDefault="005C538A" w:rsidP="005C538A">
      <w:pPr>
        <w:autoSpaceDE w:val="0"/>
        <w:autoSpaceDN w:val="0"/>
        <w:spacing w:line="360" w:lineRule="auto"/>
        <w:rPr>
          <w:rFonts w:ascii="Verdana" w:hAnsi="Verdana" w:cs="Times New Roman"/>
          <w:sz w:val="20"/>
          <w:szCs w:val="20"/>
        </w:rPr>
      </w:pPr>
      <w:r w:rsidRPr="00D963D6">
        <w:rPr>
          <w:rFonts w:ascii="Verdana" w:hAnsi="Verdana" w:cs="Times New Roman"/>
          <w:sz w:val="20"/>
          <w:szCs w:val="20"/>
        </w:rPr>
        <w:t xml:space="preserve">Full manuscripts should be submitted via EES: </w:t>
      </w:r>
      <w:hyperlink r:id="rId10" w:history="1">
        <w:r w:rsidRPr="00D963D6">
          <w:rPr>
            <w:rStyle w:val="Hyperlink"/>
            <w:rFonts w:ascii="Verdana" w:hAnsi="Verdana" w:cs="Times New Roman"/>
            <w:sz w:val="20"/>
            <w:szCs w:val="20"/>
          </w:rPr>
          <w:t>http://ees.elsevier.com/jbr/</w:t>
        </w:r>
      </w:hyperlink>
    </w:p>
    <w:p w14:paraId="23342B68" w14:textId="77777777" w:rsidR="005C538A" w:rsidRPr="00D963D6" w:rsidRDefault="005C538A" w:rsidP="005C538A">
      <w:pPr>
        <w:autoSpaceDE w:val="0"/>
        <w:autoSpaceDN w:val="0"/>
        <w:spacing w:line="360" w:lineRule="auto"/>
        <w:rPr>
          <w:rFonts w:ascii="Verdana" w:hAnsi="Verdana" w:cs="Times New Roman"/>
          <w:sz w:val="20"/>
          <w:szCs w:val="20"/>
        </w:rPr>
      </w:pPr>
    </w:p>
    <w:p w14:paraId="2372052E" w14:textId="77777777" w:rsidR="005C538A" w:rsidRPr="00D963D6" w:rsidRDefault="005C538A" w:rsidP="005C538A">
      <w:pPr>
        <w:autoSpaceDE w:val="0"/>
        <w:autoSpaceDN w:val="0"/>
        <w:spacing w:line="360" w:lineRule="auto"/>
        <w:rPr>
          <w:rFonts w:ascii="Verdana" w:hAnsi="Verdana" w:cs="Times New Roman"/>
          <w:sz w:val="20"/>
          <w:szCs w:val="20"/>
        </w:rPr>
      </w:pPr>
      <w:r w:rsidRPr="00D963D6">
        <w:rPr>
          <w:rFonts w:ascii="Verdana" w:hAnsi="Verdana" w:cs="Times New Roman"/>
          <w:sz w:val="20"/>
          <w:szCs w:val="20"/>
        </w:rPr>
        <w:t>Manuscripts should be prepared in accordance with the Guide for Authors available at</w:t>
      </w:r>
    </w:p>
    <w:p w14:paraId="683D8BBA" w14:textId="77777777" w:rsidR="005C538A" w:rsidRPr="00D963D6" w:rsidRDefault="005C538A" w:rsidP="005C538A">
      <w:pPr>
        <w:autoSpaceDE w:val="0"/>
        <w:autoSpaceDN w:val="0"/>
        <w:spacing w:line="360" w:lineRule="auto"/>
        <w:rPr>
          <w:rFonts w:ascii="Verdana" w:hAnsi="Verdana" w:cs="Times New Roman"/>
          <w:sz w:val="20"/>
          <w:szCs w:val="20"/>
        </w:rPr>
      </w:pPr>
      <w:hyperlink r:id="rId11" w:history="1">
        <w:r w:rsidRPr="00D963D6">
          <w:rPr>
            <w:rStyle w:val="Hyperlink"/>
            <w:rFonts w:ascii="Verdana" w:hAnsi="Verdana" w:cs="Times New Roman"/>
            <w:sz w:val="20"/>
            <w:szCs w:val="20"/>
          </w:rPr>
          <w:t>https://www.elsevier.com/journals/journal-of-business-research/0148-2963/guide-for-authors</w:t>
        </w:r>
      </w:hyperlink>
    </w:p>
    <w:p w14:paraId="1C264C7E" w14:textId="77777777" w:rsidR="005C538A" w:rsidRPr="00D963D6" w:rsidRDefault="005C538A" w:rsidP="005C538A">
      <w:pPr>
        <w:autoSpaceDE w:val="0"/>
        <w:autoSpaceDN w:val="0"/>
        <w:spacing w:line="360" w:lineRule="auto"/>
        <w:rPr>
          <w:rFonts w:ascii="Verdana" w:hAnsi="Verdana" w:cs="Times New Roman"/>
          <w:sz w:val="20"/>
          <w:szCs w:val="20"/>
        </w:rPr>
      </w:pPr>
    </w:p>
    <w:p w14:paraId="04514329" w14:textId="77777777" w:rsidR="005C538A" w:rsidRPr="00D963D6" w:rsidRDefault="005C538A" w:rsidP="005C538A">
      <w:pPr>
        <w:autoSpaceDE w:val="0"/>
        <w:autoSpaceDN w:val="0"/>
        <w:spacing w:line="360" w:lineRule="auto"/>
        <w:rPr>
          <w:rFonts w:ascii="Verdana" w:hAnsi="Verdana" w:cs="Times New Roman"/>
          <w:sz w:val="20"/>
          <w:szCs w:val="20"/>
        </w:rPr>
      </w:pPr>
    </w:p>
    <w:p w14:paraId="3C8A3703" w14:textId="77777777" w:rsidR="005C538A" w:rsidRPr="00D963D6" w:rsidRDefault="005C538A" w:rsidP="005C538A">
      <w:pPr>
        <w:autoSpaceDE w:val="0"/>
        <w:autoSpaceDN w:val="0"/>
        <w:spacing w:line="360" w:lineRule="auto"/>
        <w:rPr>
          <w:rFonts w:ascii="Verdana" w:hAnsi="Verdana"/>
          <w:b/>
          <w:bCs/>
          <w:sz w:val="20"/>
          <w:szCs w:val="20"/>
        </w:rPr>
      </w:pPr>
      <w:r w:rsidRPr="00D963D6">
        <w:rPr>
          <w:rFonts w:ascii="Verdana" w:hAnsi="Verdana" w:cs="Times New Roman"/>
          <w:b/>
          <w:bCs/>
          <w:sz w:val="20"/>
          <w:szCs w:val="20"/>
        </w:rPr>
        <w:t xml:space="preserve">REFERENCES </w:t>
      </w:r>
    </w:p>
    <w:p w14:paraId="1D6D53FF" w14:textId="77777777" w:rsidR="005C538A" w:rsidRPr="00D963D6" w:rsidRDefault="005C538A" w:rsidP="005C538A">
      <w:pPr>
        <w:shd w:val="clear" w:color="auto" w:fill="FFFFFF"/>
        <w:spacing w:after="225"/>
        <w:rPr>
          <w:rFonts w:ascii="Verdana" w:hAnsi="Verdana" w:cs="Times New Roman"/>
          <w:sz w:val="20"/>
          <w:szCs w:val="20"/>
        </w:rPr>
      </w:pPr>
      <w:proofErr w:type="spellStart"/>
      <w:r w:rsidRPr="00D963D6">
        <w:rPr>
          <w:rFonts w:ascii="Verdana" w:hAnsi="Verdana" w:cs="Times New Roman"/>
          <w:color w:val="000000"/>
          <w:sz w:val="20"/>
          <w:szCs w:val="20"/>
        </w:rPr>
        <w:t>Awate</w:t>
      </w:r>
      <w:proofErr w:type="spellEnd"/>
      <w:r w:rsidRPr="00D963D6">
        <w:rPr>
          <w:rFonts w:ascii="Verdana" w:hAnsi="Verdana" w:cs="Times New Roman"/>
          <w:color w:val="000000"/>
          <w:sz w:val="20"/>
          <w:szCs w:val="20"/>
        </w:rPr>
        <w:t xml:space="preserve">, S., Larsen, M. M., &amp; </w:t>
      </w:r>
      <w:proofErr w:type="spellStart"/>
      <w:r w:rsidRPr="00D963D6">
        <w:rPr>
          <w:rFonts w:ascii="Verdana" w:hAnsi="Verdana" w:cs="Times New Roman"/>
          <w:color w:val="000000"/>
          <w:sz w:val="20"/>
          <w:szCs w:val="20"/>
        </w:rPr>
        <w:t>Mudambi</w:t>
      </w:r>
      <w:proofErr w:type="spellEnd"/>
      <w:r w:rsidRPr="00D963D6">
        <w:rPr>
          <w:rFonts w:ascii="Verdana" w:hAnsi="Verdana" w:cs="Times New Roman"/>
          <w:color w:val="000000"/>
          <w:sz w:val="20"/>
          <w:szCs w:val="20"/>
        </w:rPr>
        <w:t>, R. (2012). EMNE catch</w:t>
      </w:r>
      <w:r w:rsidRPr="00D963D6">
        <w:rPr>
          <w:rFonts w:ascii="Cambria Math" w:hAnsi="Cambria Math" w:cs="Cambria Math"/>
          <w:color w:val="000000"/>
          <w:sz w:val="20"/>
          <w:szCs w:val="20"/>
        </w:rPr>
        <w:t>‐</w:t>
      </w:r>
      <w:r w:rsidRPr="00D963D6">
        <w:rPr>
          <w:rFonts w:ascii="Verdana" w:hAnsi="Verdana" w:cs="Times New Roman"/>
          <w:color w:val="000000"/>
          <w:sz w:val="20"/>
          <w:szCs w:val="20"/>
        </w:rPr>
        <w:t>up strategies in the wind turbine industry: Is there a trade</w:t>
      </w:r>
      <w:r w:rsidRPr="00D963D6">
        <w:rPr>
          <w:rFonts w:ascii="Cambria Math" w:hAnsi="Cambria Math" w:cs="Cambria Math"/>
          <w:color w:val="000000"/>
          <w:sz w:val="20"/>
          <w:szCs w:val="20"/>
        </w:rPr>
        <w:t>‐</w:t>
      </w:r>
      <w:r w:rsidRPr="00D963D6">
        <w:rPr>
          <w:rFonts w:ascii="Verdana" w:hAnsi="Verdana" w:cs="Times New Roman"/>
          <w:color w:val="000000"/>
          <w:sz w:val="20"/>
          <w:szCs w:val="20"/>
        </w:rPr>
        <w:t xml:space="preserve">off between output and innovation </w:t>
      </w:r>
      <w:proofErr w:type="gramStart"/>
      <w:r w:rsidRPr="00D963D6">
        <w:rPr>
          <w:rFonts w:ascii="Verdana" w:hAnsi="Verdana" w:cs="Times New Roman"/>
          <w:color w:val="000000"/>
          <w:sz w:val="20"/>
          <w:szCs w:val="20"/>
        </w:rPr>
        <w:t>capabilities?.</w:t>
      </w:r>
      <w:proofErr w:type="gramEnd"/>
      <w:r w:rsidRPr="00D963D6">
        <w:rPr>
          <w:rFonts w:ascii="Verdana" w:hAnsi="Verdana" w:cs="Times New Roman"/>
          <w:color w:val="000000"/>
          <w:sz w:val="20"/>
          <w:szCs w:val="20"/>
        </w:rPr>
        <w:t xml:space="preserve"> </w:t>
      </w:r>
      <w:r w:rsidRPr="00D963D6">
        <w:rPr>
          <w:rFonts w:ascii="Verdana" w:hAnsi="Verdana" w:cs="Times New Roman"/>
          <w:i/>
          <w:iCs/>
          <w:color w:val="000000"/>
          <w:sz w:val="20"/>
          <w:szCs w:val="20"/>
        </w:rPr>
        <w:t>Global Strategy Journal</w:t>
      </w:r>
      <w:r w:rsidRPr="00D963D6">
        <w:rPr>
          <w:rFonts w:ascii="Verdana" w:hAnsi="Verdana" w:cs="Times New Roman"/>
          <w:color w:val="000000"/>
          <w:sz w:val="20"/>
          <w:szCs w:val="20"/>
        </w:rPr>
        <w:t>, 2(3), 205-223.</w:t>
      </w:r>
    </w:p>
    <w:p w14:paraId="063C1251" w14:textId="77777777" w:rsidR="005C538A" w:rsidRPr="00D963D6" w:rsidRDefault="005C538A" w:rsidP="005C538A">
      <w:pPr>
        <w:shd w:val="clear" w:color="auto" w:fill="FFFFFF"/>
        <w:spacing w:after="225"/>
        <w:rPr>
          <w:rFonts w:ascii="Verdana" w:hAnsi="Verdana" w:cs="Times New Roman"/>
          <w:sz w:val="20"/>
          <w:szCs w:val="20"/>
        </w:rPr>
      </w:pPr>
      <w:r w:rsidRPr="00D963D6">
        <w:rPr>
          <w:rFonts w:ascii="Verdana" w:hAnsi="Verdana" w:cs="Times New Roman"/>
          <w:color w:val="000000"/>
          <w:sz w:val="20"/>
          <w:szCs w:val="20"/>
        </w:rPr>
        <w:t xml:space="preserve">Buckley, P. J., Clegg, L. J., Cross, A. R., Liu, X., Voss, H., &amp; Zheng, P. (2007). The determinants of Chinese outward foreign direct investment. </w:t>
      </w:r>
      <w:r w:rsidRPr="00D963D6">
        <w:rPr>
          <w:rFonts w:ascii="Verdana" w:hAnsi="Verdana" w:cs="Times New Roman"/>
          <w:i/>
          <w:iCs/>
          <w:color w:val="000000"/>
          <w:sz w:val="20"/>
          <w:szCs w:val="20"/>
        </w:rPr>
        <w:t>Journal of International Business Studies</w:t>
      </w:r>
      <w:r w:rsidRPr="00D963D6">
        <w:rPr>
          <w:rFonts w:ascii="Verdana" w:hAnsi="Verdana" w:cs="Times New Roman"/>
          <w:color w:val="000000"/>
          <w:sz w:val="20"/>
          <w:szCs w:val="20"/>
        </w:rPr>
        <w:t>, 38, 499–518.</w:t>
      </w:r>
    </w:p>
    <w:p w14:paraId="49975523" w14:textId="77777777" w:rsidR="005C538A" w:rsidRPr="00D963D6" w:rsidRDefault="005C538A" w:rsidP="005C538A">
      <w:pPr>
        <w:shd w:val="clear" w:color="auto" w:fill="FFFFFF"/>
        <w:spacing w:after="225"/>
        <w:rPr>
          <w:rFonts w:ascii="Verdana" w:hAnsi="Verdana" w:cs="Times New Roman"/>
          <w:sz w:val="20"/>
          <w:szCs w:val="20"/>
        </w:rPr>
      </w:pPr>
      <w:r w:rsidRPr="00D963D6">
        <w:rPr>
          <w:rFonts w:ascii="Verdana" w:hAnsi="Verdana" w:cs="Times New Roman"/>
          <w:color w:val="000000"/>
          <w:sz w:val="20"/>
          <w:szCs w:val="20"/>
        </w:rPr>
        <w:t xml:space="preserve">Buckley, P.J., Elia, S. Kafouros, M. (2014). Acquisitions by emerging market multinationals: Implications for firm performance. </w:t>
      </w:r>
      <w:r w:rsidRPr="00D963D6">
        <w:rPr>
          <w:rFonts w:ascii="Verdana" w:hAnsi="Verdana" w:cs="Times New Roman"/>
          <w:i/>
          <w:iCs/>
          <w:color w:val="000000"/>
          <w:sz w:val="20"/>
          <w:szCs w:val="20"/>
        </w:rPr>
        <w:t>Journal of World Business</w:t>
      </w:r>
      <w:r w:rsidRPr="00D963D6">
        <w:rPr>
          <w:rFonts w:ascii="Verdana" w:hAnsi="Verdana" w:cs="Times New Roman"/>
          <w:color w:val="000000"/>
          <w:sz w:val="20"/>
          <w:szCs w:val="20"/>
        </w:rPr>
        <w:t>, 49, 611-632.</w:t>
      </w:r>
    </w:p>
    <w:p w14:paraId="4DAA03E5" w14:textId="77777777" w:rsidR="005C538A" w:rsidRPr="00D963D6" w:rsidRDefault="005C538A" w:rsidP="005C538A">
      <w:pPr>
        <w:shd w:val="clear" w:color="auto" w:fill="FFFFFF"/>
        <w:spacing w:after="225"/>
        <w:rPr>
          <w:rFonts w:ascii="Verdana" w:hAnsi="Verdana" w:cs="Times New Roman"/>
          <w:sz w:val="20"/>
          <w:szCs w:val="20"/>
        </w:rPr>
      </w:pPr>
      <w:r w:rsidRPr="00D963D6">
        <w:rPr>
          <w:rFonts w:ascii="Verdana" w:hAnsi="Verdana" w:cs="Times New Roman"/>
          <w:color w:val="000000"/>
          <w:sz w:val="20"/>
          <w:szCs w:val="20"/>
        </w:rPr>
        <w:t xml:space="preserve">Buckley, P. J., </w:t>
      </w:r>
      <w:proofErr w:type="spellStart"/>
      <w:r w:rsidRPr="00D963D6">
        <w:rPr>
          <w:rFonts w:ascii="Verdana" w:hAnsi="Verdana" w:cs="Times New Roman"/>
          <w:color w:val="000000"/>
          <w:sz w:val="20"/>
          <w:szCs w:val="20"/>
        </w:rPr>
        <w:t>Forsans</w:t>
      </w:r>
      <w:proofErr w:type="spellEnd"/>
      <w:r w:rsidRPr="00D963D6">
        <w:rPr>
          <w:rFonts w:ascii="Verdana" w:hAnsi="Verdana" w:cs="Times New Roman"/>
          <w:color w:val="000000"/>
          <w:sz w:val="20"/>
          <w:szCs w:val="20"/>
        </w:rPr>
        <w:t xml:space="preserve">, N., &amp; Munjal, S. (2012). Host–home country linkages and host–home country specific advantages as determinants of foreign acquisitions by Indian firms. </w:t>
      </w:r>
      <w:r w:rsidRPr="00D963D6">
        <w:rPr>
          <w:rFonts w:ascii="Verdana" w:hAnsi="Verdana" w:cs="Times New Roman"/>
          <w:i/>
          <w:iCs/>
          <w:color w:val="000000"/>
          <w:sz w:val="20"/>
          <w:szCs w:val="20"/>
        </w:rPr>
        <w:t>International Business Review</w:t>
      </w:r>
      <w:r w:rsidRPr="00D963D6">
        <w:rPr>
          <w:rFonts w:ascii="Verdana" w:hAnsi="Verdana" w:cs="Times New Roman"/>
          <w:color w:val="000000"/>
          <w:sz w:val="20"/>
          <w:szCs w:val="20"/>
        </w:rPr>
        <w:t>, 21(5), 878-890.</w:t>
      </w:r>
    </w:p>
    <w:p w14:paraId="0E643C6A" w14:textId="77777777" w:rsidR="005C538A" w:rsidRPr="00D963D6" w:rsidRDefault="005C538A" w:rsidP="005C538A">
      <w:pPr>
        <w:shd w:val="clear" w:color="auto" w:fill="FFFFFF"/>
        <w:spacing w:after="225"/>
        <w:rPr>
          <w:rFonts w:ascii="Verdana" w:hAnsi="Verdana" w:cs="Times New Roman"/>
          <w:sz w:val="20"/>
          <w:szCs w:val="20"/>
        </w:rPr>
      </w:pPr>
      <w:r w:rsidRPr="00D963D6">
        <w:rPr>
          <w:rFonts w:ascii="Verdana" w:hAnsi="Verdana" w:cs="Times New Roman"/>
          <w:color w:val="000000"/>
          <w:sz w:val="20"/>
          <w:szCs w:val="20"/>
        </w:rPr>
        <w:lastRenderedPageBreak/>
        <w:t xml:space="preserve">Buckley, P. J., Munjal, S., </w:t>
      </w:r>
      <w:proofErr w:type="spellStart"/>
      <w:r w:rsidRPr="00D963D6">
        <w:rPr>
          <w:rFonts w:ascii="Verdana" w:hAnsi="Verdana" w:cs="Times New Roman"/>
          <w:color w:val="000000"/>
          <w:sz w:val="20"/>
          <w:szCs w:val="20"/>
        </w:rPr>
        <w:t>Enderwick</w:t>
      </w:r>
      <w:proofErr w:type="spellEnd"/>
      <w:r w:rsidRPr="00D963D6">
        <w:rPr>
          <w:rFonts w:ascii="Verdana" w:hAnsi="Verdana" w:cs="Times New Roman"/>
          <w:color w:val="000000"/>
          <w:sz w:val="20"/>
          <w:szCs w:val="20"/>
        </w:rPr>
        <w:t xml:space="preserve">, P., and </w:t>
      </w:r>
      <w:proofErr w:type="spellStart"/>
      <w:r w:rsidRPr="00D963D6">
        <w:rPr>
          <w:rFonts w:ascii="Verdana" w:hAnsi="Verdana" w:cs="Times New Roman"/>
          <w:color w:val="000000"/>
          <w:sz w:val="20"/>
          <w:szCs w:val="20"/>
        </w:rPr>
        <w:t>Forsans</w:t>
      </w:r>
      <w:proofErr w:type="spellEnd"/>
      <w:r w:rsidRPr="00D963D6">
        <w:rPr>
          <w:rFonts w:ascii="Verdana" w:hAnsi="Verdana" w:cs="Times New Roman"/>
          <w:color w:val="000000"/>
          <w:sz w:val="20"/>
          <w:szCs w:val="20"/>
        </w:rPr>
        <w:t xml:space="preserve">. N. (2016). Cross-border acquisitions by Indian multinationals: Asset exploitation or asset augmentation? </w:t>
      </w:r>
      <w:r w:rsidRPr="00D963D6">
        <w:rPr>
          <w:rFonts w:ascii="Verdana" w:hAnsi="Verdana" w:cs="Times New Roman"/>
          <w:i/>
          <w:iCs/>
          <w:color w:val="000000"/>
          <w:sz w:val="20"/>
          <w:szCs w:val="20"/>
        </w:rPr>
        <w:t>International Business Review</w:t>
      </w:r>
      <w:r w:rsidRPr="00D963D6">
        <w:rPr>
          <w:rFonts w:ascii="Verdana" w:hAnsi="Verdana" w:cs="Times New Roman"/>
          <w:color w:val="000000"/>
          <w:sz w:val="20"/>
          <w:szCs w:val="20"/>
        </w:rPr>
        <w:t>, 25(4), 986-996.</w:t>
      </w:r>
    </w:p>
    <w:p w14:paraId="366E6847" w14:textId="77777777" w:rsidR="005C538A" w:rsidRPr="00D963D6" w:rsidRDefault="005C538A" w:rsidP="005C538A">
      <w:pPr>
        <w:shd w:val="clear" w:color="auto" w:fill="FFFFFF"/>
        <w:spacing w:after="225"/>
        <w:rPr>
          <w:rFonts w:ascii="Verdana" w:hAnsi="Verdana" w:cs="Times New Roman"/>
          <w:sz w:val="20"/>
          <w:szCs w:val="20"/>
        </w:rPr>
      </w:pPr>
      <w:r w:rsidRPr="00D963D6">
        <w:rPr>
          <w:rFonts w:ascii="Verdana" w:hAnsi="Verdana" w:cs="Times New Roman"/>
          <w:color w:val="000000"/>
          <w:sz w:val="20"/>
          <w:szCs w:val="20"/>
        </w:rPr>
        <w:t xml:space="preserve">Cavusgil, S. Tamer and Buckley, P. J. (2016). Interdisciplinary Perspectives on the Middle-Class Phenomenon in Emerging Markets, </w:t>
      </w:r>
      <w:r w:rsidRPr="00D963D6">
        <w:rPr>
          <w:rFonts w:ascii="Verdana" w:hAnsi="Verdana" w:cs="Times New Roman"/>
          <w:i/>
          <w:iCs/>
          <w:color w:val="000000"/>
          <w:sz w:val="20"/>
          <w:szCs w:val="20"/>
        </w:rPr>
        <w:t>International Business Review</w:t>
      </w:r>
      <w:r w:rsidRPr="00D963D6">
        <w:rPr>
          <w:rFonts w:ascii="Verdana" w:hAnsi="Verdana" w:cs="Times New Roman"/>
          <w:color w:val="000000"/>
          <w:sz w:val="20"/>
          <w:szCs w:val="20"/>
        </w:rPr>
        <w:t>, 25, 621-623.</w:t>
      </w:r>
    </w:p>
    <w:p w14:paraId="44A3475B" w14:textId="77777777" w:rsidR="005C538A" w:rsidRPr="00D963D6" w:rsidRDefault="005C538A" w:rsidP="005C538A">
      <w:pPr>
        <w:shd w:val="clear" w:color="auto" w:fill="FFFFFF"/>
        <w:spacing w:after="225"/>
        <w:rPr>
          <w:rFonts w:ascii="Verdana" w:hAnsi="Verdana" w:cs="Times New Roman"/>
          <w:sz w:val="20"/>
          <w:szCs w:val="20"/>
        </w:rPr>
      </w:pPr>
      <w:r w:rsidRPr="00D963D6">
        <w:rPr>
          <w:rFonts w:ascii="Verdana" w:hAnsi="Verdana" w:cs="Times New Roman"/>
          <w:color w:val="000000"/>
          <w:sz w:val="20"/>
          <w:szCs w:val="20"/>
        </w:rPr>
        <w:t xml:space="preserve">Cavusgil, S. Tamer, </w:t>
      </w:r>
      <w:proofErr w:type="spellStart"/>
      <w:r w:rsidRPr="00D963D6">
        <w:rPr>
          <w:rFonts w:ascii="Verdana" w:hAnsi="Verdana" w:cs="Times New Roman"/>
          <w:color w:val="000000"/>
          <w:sz w:val="20"/>
          <w:szCs w:val="20"/>
        </w:rPr>
        <w:t>Deligonul</w:t>
      </w:r>
      <w:proofErr w:type="spellEnd"/>
      <w:r w:rsidRPr="00D963D6">
        <w:rPr>
          <w:rFonts w:ascii="Verdana" w:hAnsi="Verdana" w:cs="Times New Roman"/>
          <w:color w:val="000000"/>
          <w:sz w:val="20"/>
          <w:szCs w:val="20"/>
        </w:rPr>
        <w:t xml:space="preserve">, S.Z., Kardes, Il., and Cavusgil, Erin (2018). Middle Class Consumers in Emerging Markets: Conceptualization, Propositions and Measurement, </w:t>
      </w:r>
      <w:r w:rsidRPr="00D963D6">
        <w:rPr>
          <w:rFonts w:ascii="Verdana" w:hAnsi="Verdana" w:cs="Times New Roman"/>
          <w:i/>
          <w:iCs/>
          <w:color w:val="000000"/>
          <w:sz w:val="20"/>
          <w:szCs w:val="20"/>
        </w:rPr>
        <w:t>Journal of International Marketing</w:t>
      </w:r>
      <w:r w:rsidRPr="00D963D6">
        <w:rPr>
          <w:rFonts w:ascii="Verdana" w:hAnsi="Verdana" w:cs="Times New Roman"/>
          <w:color w:val="000000"/>
          <w:sz w:val="20"/>
          <w:szCs w:val="20"/>
        </w:rPr>
        <w:t xml:space="preserve">, 26, No. 3, 94-108. </w:t>
      </w:r>
    </w:p>
    <w:p w14:paraId="46F5468C" w14:textId="77777777" w:rsidR="005C538A" w:rsidRPr="00D963D6" w:rsidRDefault="005C538A" w:rsidP="005C538A">
      <w:pPr>
        <w:shd w:val="clear" w:color="auto" w:fill="FFFFFF"/>
        <w:spacing w:after="225"/>
        <w:rPr>
          <w:rFonts w:ascii="Verdana" w:hAnsi="Verdana" w:cs="Times New Roman"/>
          <w:sz w:val="20"/>
          <w:szCs w:val="20"/>
        </w:rPr>
      </w:pPr>
      <w:proofErr w:type="spellStart"/>
      <w:r w:rsidRPr="00D963D6">
        <w:rPr>
          <w:rFonts w:ascii="Verdana" w:hAnsi="Verdana" w:cs="Times New Roman"/>
          <w:color w:val="000000"/>
          <w:sz w:val="20"/>
          <w:szCs w:val="20"/>
        </w:rPr>
        <w:t>Corredoira</w:t>
      </w:r>
      <w:proofErr w:type="spellEnd"/>
      <w:r w:rsidRPr="00D963D6">
        <w:rPr>
          <w:rFonts w:ascii="Verdana" w:hAnsi="Verdana" w:cs="Times New Roman"/>
          <w:color w:val="000000"/>
          <w:sz w:val="20"/>
          <w:szCs w:val="20"/>
        </w:rPr>
        <w:t xml:space="preserve">, R. A., &amp; McDermott, G. A. 2014. Adaptation, bridging and firm upgrading: How non-market institutions and MNCs facilitate knowledge recombination in emerging markets. </w:t>
      </w:r>
      <w:r w:rsidRPr="00D963D6">
        <w:rPr>
          <w:rFonts w:ascii="Verdana" w:hAnsi="Verdana" w:cs="Times New Roman"/>
          <w:i/>
          <w:iCs/>
          <w:color w:val="000000"/>
          <w:sz w:val="20"/>
          <w:szCs w:val="20"/>
        </w:rPr>
        <w:t>Journal of International Business Studies</w:t>
      </w:r>
      <w:r w:rsidRPr="00D963D6">
        <w:rPr>
          <w:rFonts w:ascii="Verdana" w:hAnsi="Verdana" w:cs="Times New Roman"/>
          <w:color w:val="000000"/>
          <w:sz w:val="20"/>
          <w:szCs w:val="20"/>
        </w:rPr>
        <w:t>, 45(6), 699-722.</w:t>
      </w:r>
    </w:p>
    <w:p w14:paraId="4AA0568E" w14:textId="77777777" w:rsidR="005C538A" w:rsidRPr="00D963D6" w:rsidRDefault="005C538A" w:rsidP="005C538A">
      <w:pPr>
        <w:shd w:val="clear" w:color="auto" w:fill="FFFFFF"/>
        <w:spacing w:after="225"/>
        <w:rPr>
          <w:rFonts w:ascii="Verdana" w:hAnsi="Verdana" w:cs="Times New Roman"/>
          <w:sz w:val="20"/>
          <w:szCs w:val="20"/>
        </w:rPr>
      </w:pPr>
      <w:r w:rsidRPr="00D963D6">
        <w:rPr>
          <w:rFonts w:ascii="Verdana" w:hAnsi="Verdana" w:cs="Times New Roman"/>
          <w:color w:val="000000"/>
          <w:sz w:val="20"/>
          <w:szCs w:val="20"/>
        </w:rPr>
        <w:t>Cuervo-</w:t>
      </w:r>
      <w:proofErr w:type="spellStart"/>
      <w:r w:rsidRPr="00D963D6">
        <w:rPr>
          <w:rFonts w:ascii="Verdana" w:hAnsi="Verdana" w:cs="Times New Roman"/>
          <w:color w:val="000000"/>
          <w:sz w:val="20"/>
          <w:szCs w:val="20"/>
        </w:rPr>
        <w:t>Cazurra</w:t>
      </w:r>
      <w:proofErr w:type="spellEnd"/>
      <w:r w:rsidRPr="00D963D6">
        <w:rPr>
          <w:rFonts w:ascii="Verdana" w:hAnsi="Verdana" w:cs="Times New Roman"/>
          <w:color w:val="000000"/>
          <w:sz w:val="20"/>
          <w:szCs w:val="20"/>
        </w:rPr>
        <w:t xml:space="preserve">, A. (2012). Extending theory by </w:t>
      </w:r>
      <w:proofErr w:type="spellStart"/>
      <w:r w:rsidRPr="00D963D6">
        <w:rPr>
          <w:rFonts w:ascii="Verdana" w:hAnsi="Verdana" w:cs="Times New Roman"/>
          <w:color w:val="000000"/>
          <w:sz w:val="20"/>
          <w:szCs w:val="20"/>
        </w:rPr>
        <w:t>analysing</w:t>
      </w:r>
      <w:proofErr w:type="spellEnd"/>
      <w:r w:rsidRPr="00D963D6">
        <w:rPr>
          <w:rFonts w:ascii="Verdana" w:hAnsi="Verdana" w:cs="Times New Roman"/>
          <w:color w:val="000000"/>
          <w:sz w:val="20"/>
          <w:szCs w:val="20"/>
        </w:rPr>
        <w:t xml:space="preserve"> developing country multinational companies: Solving the goldilocks debate. </w:t>
      </w:r>
      <w:r w:rsidRPr="00D963D6">
        <w:rPr>
          <w:rFonts w:ascii="Verdana" w:hAnsi="Verdana" w:cs="Times New Roman"/>
          <w:i/>
          <w:iCs/>
          <w:color w:val="000000"/>
          <w:sz w:val="20"/>
          <w:szCs w:val="20"/>
        </w:rPr>
        <w:t>Global Strategy Journal</w:t>
      </w:r>
      <w:r w:rsidRPr="00D963D6">
        <w:rPr>
          <w:rFonts w:ascii="Verdana" w:hAnsi="Verdana" w:cs="Times New Roman"/>
          <w:color w:val="000000"/>
          <w:sz w:val="20"/>
          <w:szCs w:val="20"/>
        </w:rPr>
        <w:t>, 2, 153–167.</w:t>
      </w:r>
    </w:p>
    <w:p w14:paraId="04255C6F" w14:textId="77777777" w:rsidR="005C538A" w:rsidRPr="00D963D6" w:rsidRDefault="005C538A" w:rsidP="005C538A">
      <w:pPr>
        <w:shd w:val="clear" w:color="auto" w:fill="FFFFFF"/>
        <w:spacing w:after="225"/>
        <w:rPr>
          <w:rFonts w:ascii="Verdana" w:hAnsi="Verdana" w:cs="Times New Roman"/>
          <w:sz w:val="20"/>
          <w:szCs w:val="20"/>
        </w:rPr>
      </w:pPr>
      <w:r w:rsidRPr="00D963D6">
        <w:rPr>
          <w:rFonts w:ascii="Verdana" w:hAnsi="Verdana" w:cs="Times New Roman"/>
          <w:color w:val="000000"/>
          <w:sz w:val="20"/>
          <w:szCs w:val="20"/>
        </w:rPr>
        <w:t xml:space="preserve">Contractor, F. J. (2013), “Punching above their weight”: The sources of competitive advantage for emerging market multinationals, </w:t>
      </w:r>
      <w:r w:rsidRPr="00D963D6">
        <w:rPr>
          <w:rFonts w:ascii="Verdana" w:hAnsi="Verdana" w:cs="Times New Roman"/>
          <w:i/>
          <w:iCs/>
          <w:color w:val="000000"/>
          <w:sz w:val="20"/>
          <w:szCs w:val="20"/>
        </w:rPr>
        <w:t>International Journal of Emerging Markets</w:t>
      </w:r>
      <w:r w:rsidRPr="00D963D6">
        <w:rPr>
          <w:rFonts w:ascii="Verdana" w:hAnsi="Verdana" w:cs="Times New Roman"/>
          <w:color w:val="000000"/>
          <w:sz w:val="20"/>
          <w:szCs w:val="20"/>
        </w:rPr>
        <w:t>, 8(4), 304-328</w:t>
      </w:r>
    </w:p>
    <w:p w14:paraId="2857AF72" w14:textId="77777777" w:rsidR="005C538A" w:rsidRPr="00D963D6" w:rsidRDefault="005C538A" w:rsidP="005C538A">
      <w:pPr>
        <w:shd w:val="clear" w:color="auto" w:fill="FFFFFF"/>
        <w:spacing w:after="225"/>
        <w:rPr>
          <w:rFonts w:ascii="Verdana" w:hAnsi="Verdana" w:cs="Times New Roman"/>
          <w:sz w:val="20"/>
          <w:szCs w:val="20"/>
        </w:rPr>
      </w:pPr>
      <w:r w:rsidRPr="00D963D6">
        <w:rPr>
          <w:rFonts w:ascii="Verdana" w:hAnsi="Verdana" w:cs="Times New Roman"/>
          <w:color w:val="000000"/>
          <w:sz w:val="20"/>
          <w:szCs w:val="20"/>
        </w:rPr>
        <w:t xml:space="preserve">De </w:t>
      </w:r>
      <w:proofErr w:type="spellStart"/>
      <w:r w:rsidRPr="00D963D6">
        <w:rPr>
          <w:rFonts w:ascii="Verdana" w:hAnsi="Verdana" w:cs="Times New Roman"/>
          <w:color w:val="000000"/>
          <w:sz w:val="20"/>
          <w:szCs w:val="20"/>
        </w:rPr>
        <w:t>Beule</w:t>
      </w:r>
      <w:proofErr w:type="spellEnd"/>
      <w:r w:rsidRPr="00D963D6">
        <w:rPr>
          <w:rFonts w:ascii="Verdana" w:hAnsi="Verdana" w:cs="Times New Roman"/>
          <w:color w:val="000000"/>
          <w:sz w:val="20"/>
          <w:szCs w:val="20"/>
        </w:rPr>
        <w:t xml:space="preserve"> F., Elia S. and </w:t>
      </w:r>
      <w:proofErr w:type="spellStart"/>
      <w:r w:rsidRPr="00D963D6">
        <w:rPr>
          <w:rFonts w:ascii="Verdana" w:hAnsi="Verdana" w:cs="Times New Roman"/>
          <w:color w:val="000000"/>
          <w:sz w:val="20"/>
          <w:szCs w:val="20"/>
        </w:rPr>
        <w:t>Piscitello</w:t>
      </w:r>
      <w:proofErr w:type="spellEnd"/>
      <w:r w:rsidRPr="00D963D6">
        <w:rPr>
          <w:rFonts w:ascii="Verdana" w:hAnsi="Verdana" w:cs="Times New Roman"/>
          <w:color w:val="000000"/>
          <w:sz w:val="20"/>
          <w:szCs w:val="20"/>
        </w:rPr>
        <w:t xml:space="preserve"> L. (2014). Entry and access to competencies abroad: Emerging Market Firms versus Advanced market Firms. </w:t>
      </w:r>
      <w:r w:rsidRPr="00D963D6">
        <w:rPr>
          <w:rFonts w:ascii="Verdana" w:hAnsi="Verdana" w:cs="Times New Roman"/>
          <w:i/>
          <w:iCs/>
          <w:color w:val="000000"/>
          <w:sz w:val="20"/>
          <w:szCs w:val="20"/>
        </w:rPr>
        <w:t>Journal of International Management</w:t>
      </w:r>
      <w:r w:rsidRPr="00D963D6">
        <w:rPr>
          <w:rFonts w:ascii="Verdana" w:hAnsi="Verdana" w:cs="Times New Roman"/>
          <w:color w:val="000000"/>
          <w:sz w:val="20"/>
          <w:szCs w:val="20"/>
        </w:rPr>
        <w:t xml:space="preserve">, 20, 137–152. </w:t>
      </w:r>
    </w:p>
    <w:p w14:paraId="46F266D4" w14:textId="77777777" w:rsidR="005C538A" w:rsidRPr="00D963D6" w:rsidRDefault="005C538A" w:rsidP="005C538A">
      <w:pPr>
        <w:shd w:val="clear" w:color="auto" w:fill="FFFFFF"/>
        <w:spacing w:after="225"/>
        <w:rPr>
          <w:rFonts w:ascii="Verdana" w:hAnsi="Verdana" w:cs="Times New Roman"/>
          <w:sz w:val="20"/>
          <w:szCs w:val="20"/>
        </w:rPr>
      </w:pPr>
      <w:r w:rsidRPr="00D963D6">
        <w:rPr>
          <w:rFonts w:ascii="Verdana" w:hAnsi="Verdana" w:cs="Times New Roman"/>
          <w:color w:val="000000"/>
          <w:sz w:val="20"/>
          <w:szCs w:val="20"/>
        </w:rPr>
        <w:t xml:space="preserve">Elia, S., Santangelo, G.D. (2017). The evolution of strategic asset-seeking acquisitions by emerging multinationals: The role of home- and host- country national innovation systems. </w:t>
      </w:r>
      <w:r w:rsidRPr="00D963D6">
        <w:rPr>
          <w:rFonts w:ascii="Verdana" w:hAnsi="Verdana" w:cs="Times New Roman"/>
          <w:i/>
          <w:iCs/>
          <w:color w:val="000000"/>
          <w:sz w:val="20"/>
          <w:szCs w:val="20"/>
        </w:rPr>
        <w:t>International Business Review</w:t>
      </w:r>
      <w:r w:rsidRPr="00D963D6">
        <w:rPr>
          <w:rFonts w:ascii="Verdana" w:hAnsi="Verdana" w:cs="Times New Roman"/>
          <w:color w:val="000000"/>
          <w:sz w:val="20"/>
          <w:szCs w:val="20"/>
        </w:rPr>
        <w:t>,</w:t>
      </w:r>
      <w:r w:rsidRPr="00D963D6">
        <w:rPr>
          <w:rFonts w:ascii="Verdana" w:hAnsi="Verdana" w:cs="Times New Roman"/>
          <w:i/>
          <w:iCs/>
          <w:color w:val="000000"/>
          <w:sz w:val="20"/>
          <w:szCs w:val="20"/>
        </w:rPr>
        <w:t xml:space="preserve"> 26</w:t>
      </w:r>
      <w:r w:rsidRPr="00D963D6">
        <w:rPr>
          <w:rFonts w:ascii="Verdana" w:hAnsi="Verdana" w:cs="Times New Roman"/>
          <w:color w:val="000000"/>
          <w:sz w:val="20"/>
          <w:szCs w:val="20"/>
        </w:rPr>
        <w:t>(5), 855-866</w:t>
      </w:r>
    </w:p>
    <w:p w14:paraId="5C5FB89E" w14:textId="77777777" w:rsidR="005C538A" w:rsidRPr="00D963D6" w:rsidRDefault="005C538A" w:rsidP="005C538A">
      <w:pPr>
        <w:shd w:val="clear" w:color="auto" w:fill="FFFFFF"/>
        <w:spacing w:after="225"/>
        <w:rPr>
          <w:rFonts w:ascii="Verdana" w:hAnsi="Verdana" w:cs="Times New Roman"/>
          <w:sz w:val="20"/>
          <w:szCs w:val="20"/>
        </w:rPr>
      </w:pPr>
      <w:r w:rsidRPr="00D963D6">
        <w:rPr>
          <w:rFonts w:ascii="Verdana" w:hAnsi="Verdana" w:cs="Times New Roman"/>
          <w:color w:val="000000"/>
          <w:sz w:val="20"/>
          <w:szCs w:val="20"/>
        </w:rPr>
        <w:t xml:space="preserve">Fu, X., </w:t>
      </w:r>
      <w:proofErr w:type="spellStart"/>
      <w:r w:rsidRPr="00D963D6">
        <w:rPr>
          <w:rFonts w:ascii="Verdana" w:hAnsi="Verdana" w:cs="Times New Roman"/>
          <w:color w:val="000000"/>
          <w:sz w:val="20"/>
          <w:szCs w:val="20"/>
        </w:rPr>
        <w:t>Pietrobelli</w:t>
      </w:r>
      <w:proofErr w:type="spellEnd"/>
      <w:r w:rsidRPr="00D963D6">
        <w:rPr>
          <w:rFonts w:ascii="Verdana" w:hAnsi="Verdana" w:cs="Times New Roman"/>
          <w:color w:val="000000"/>
          <w:sz w:val="20"/>
          <w:szCs w:val="20"/>
        </w:rPr>
        <w:t xml:space="preserve">, C., &amp; </w:t>
      </w:r>
      <w:proofErr w:type="spellStart"/>
      <w:r w:rsidRPr="00D963D6">
        <w:rPr>
          <w:rFonts w:ascii="Verdana" w:hAnsi="Verdana" w:cs="Times New Roman"/>
          <w:color w:val="000000"/>
          <w:sz w:val="20"/>
          <w:szCs w:val="20"/>
        </w:rPr>
        <w:t>Soete</w:t>
      </w:r>
      <w:proofErr w:type="spellEnd"/>
      <w:r w:rsidRPr="00D963D6">
        <w:rPr>
          <w:rFonts w:ascii="Verdana" w:hAnsi="Verdana" w:cs="Times New Roman"/>
          <w:color w:val="000000"/>
          <w:sz w:val="20"/>
          <w:szCs w:val="20"/>
        </w:rPr>
        <w:t>, L. 2011. The role of foreign technology and indigenous innovation in the emerging economies: technological change and catching-up. World Development, 39(7), 1204-1212.</w:t>
      </w:r>
    </w:p>
    <w:p w14:paraId="5F3A6AED" w14:textId="77777777" w:rsidR="005C538A" w:rsidRPr="00D963D6" w:rsidRDefault="005C538A" w:rsidP="005C538A">
      <w:pPr>
        <w:shd w:val="clear" w:color="auto" w:fill="FFFFFF"/>
        <w:spacing w:after="225"/>
        <w:rPr>
          <w:rFonts w:ascii="Verdana" w:hAnsi="Verdana" w:cs="Times New Roman"/>
          <w:sz w:val="20"/>
          <w:szCs w:val="20"/>
        </w:rPr>
      </w:pPr>
      <w:r w:rsidRPr="00D963D6">
        <w:rPr>
          <w:rFonts w:ascii="Verdana" w:hAnsi="Verdana" w:cs="Times New Roman"/>
          <w:color w:val="000000"/>
          <w:sz w:val="20"/>
          <w:szCs w:val="20"/>
        </w:rPr>
        <w:t xml:space="preserve">Govindarajan, V., &amp; </w:t>
      </w:r>
      <w:proofErr w:type="spellStart"/>
      <w:r w:rsidRPr="00D963D6">
        <w:rPr>
          <w:rFonts w:ascii="Verdana" w:hAnsi="Verdana" w:cs="Times New Roman"/>
          <w:color w:val="000000"/>
          <w:sz w:val="20"/>
          <w:szCs w:val="20"/>
        </w:rPr>
        <w:t>Ramamurti</w:t>
      </w:r>
      <w:proofErr w:type="spellEnd"/>
      <w:r w:rsidRPr="00D963D6">
        <w:rPr>
          <w:rFonts w:ascii="Verdana" w:hAnsi="Verdana" w:cs="Times New Roman"/>
          <w:color w:val="000000"/>
          <w:sz w:val="20"/>
          <w:szCs w:val="20"/>
        </w:rPr>
        <w:t xml:space="preserve">, R. (2011). Reverse innovation, emerging markets, and global strategy. </w:t>
      </w:r>
      <w:r w:rsidRPr="00D963D6">
        <w:rPr>
          <w:rFonts w:ascii="Verdana" w:hAnsi="Verdana" w:cs="Times New Roman"/>
          <w:i/>
          <w:iCs/>
          <w:color w:val="000000"/>
          <w:sz w:val="20"/>
          <w:szCs w:val="20"/>
        </w:rPr>
        <w:t>Global Strategy Journal</w:t>
      </w:r>
      <w:r w:rsidRPr="00D963D6">
        <w:rPr>
          <w:rFonts w:ascii="Verdana" w:hAnsi="Verdana" w:cs="Times New Roman"/>
          <w:color w:val="000000"/>
          <w:sz w:val="20"/>
          <w:szCs w:val="20"/>
        </w:rPr>
        <w:t>, 1(3</w:t>
      </w:r>
      <w:r w:rsidRPr="00D963D6">
        <w:rPr>
          <w:rFonts w:ascii="Cambria Math" w:hAnsi="Cambria Math" w:cs="Cambria Math"/>
          <w:color w:val="000000"/>
          <w:sz w:val="20"/>
          <w:szCs w:val="20"/>
        </w:rPr>
        <w:t>‐</w:t>
      </w:r>
      <w:r w:rsidRPr="00D963D6">
        <w:rPr>
          <w:rFonts w:ascii="Verdana" w:hAnsi="Verdana" w:cs="Times New Roman"/>
          <w:color w:val="000000"/>
          <w:sz w:val="20"/>
          <w:szCs w:val="20"/>
        </w:rPr>
        <w:t>4), 191-205.</w:t>
      </w:r>
    </w:p>
    <w:p w14:paraId="5F24E4A8" w14:textId="77777777" w:rsidR="005C538A" w:rsidRPr="00D963D6" w:rsidRDefault="005C538A" w:rsidP="005C538A">
      <w:pPr>
        <w:shd w:val="clear" w:color="auto" w:fill="FFFFFF"/>
        <w:spacing w:after="225"/>
        <w:rPr>
          <w:rFonts w:ascii="Verdana" w:hAnsi="Verdana" w:cs="Times New Roman"/>
          <w:sz w:val="20"/>
          <w:szCs w:val="20"/>
        </w:rPr>
      </w:pPr>
      <w:r w:rsidRPr="00D963D6">
        <w:rPr>
          <w:rFonts w:ascii="Verdana" w:hAnsi="Verdana" w:cs="Times New Roman"/>
          <w:color w:val="000000"/>
          <w:sz w:val="20"/>
          <w:szCs w:val="20"/>
        </w:rPr>
        <w:t xml:space="preserve">He, X., &amp; Zhang, J. (2018). Emerging market MNCs' cross-border acquisition completion: Institutional image and strategies. </w:t>
      </w:r>
      <w:r w:rsidRPr="00D963D6">
        <w:rPr>
          <w:rFonts w:ascii="Verdana" w:hAnsi="Verdana" w:cs="Times New Roman"/>
          <w:i/>
          <w:iCs/>
          <w:color w:val="000000"/>
          <w:sz w:val="20"/>
          <w:szCs w:val="20"/>
        </w:rPr>
        <w:t>Journal of Business Research</w:t>
      </w:r>
      <w:r w:rsidRPr="00D963D6">
        <w:rPr>
          <w:rFonts w:ascii="Verdana" w:hAnsi="Verdana" w:cs="Times New Roman"/>
          <w:color w:val="000000"/>
          <w:sz w:val="20"/>
          <w:szCs w:val="20"/>
        </w:rPr>
        <w:t>, 93, 139-150.</w:t>
      </w:r>
    </w:p>
    <w:p w14:paraId="2564E3B7" w14:textId="77777777" w:rsidR="005C538A" w:rsidRPr="00D963D6" w:rsidRDefault="005C538A" w:rsidP="005C538A">
      <w:pPr>
        <w:shd w:val="clear" w:color="auto" w:fill="FFFFFF"/>
        <w:spacing w:after="225"/>
        <w:rPr>
          <w:rFonts w:ascii="Verdana" w:hAnsi="Verdana" w:cs="Times New Roman"/>
          <w:sz w:val="20"/>
          <w:szCs w:val="20"/>
        </w:rPr>
      </w:pPr>
      <w:r w:rsidRPr="00D963D6">
        <w:rPr>
          <w:rFonts w:ascii="Verdana" w:hAnsi="Verdana" w:cs="Times New Roman"/>
          <w:color w:val="000000"/>
          <w:sz w:val="20"/>
          <w:szCs w:val="20"/>
        </w:rPr>
        <w:t xml:space="preserve">Han, X., Liu, X., Xia, T., &amp; Gao, L. (2018). Home-country government support, interstate relations and the subsidiary performance of emerging market multinational enterprises. </w:t>
      </w:r>
      <w:r w:rsidRPr="00D963D6">
        <w:rPr>
          <w:rFonts w:ascii="Verdana" w:hAnsi="Verdana" w:cs="Times New Roman"/>
          <w:i/>
          <w:iCs/>
          <w:color w:val="000000"/>
          <w:sz w:val="20"/>
          <w:szCs w:val="20"/>
        </w:rPr>
        <w:t>Journal of Business Research</w:t>
      </w:r>
      <w:r w:rsidRPr="00D963D6">
        <w:rPr>
          <w:rFonts w:ascii="Verdana" w:hAnsi="Verdana" w:cs="Times New Roman"/>
          <w:color w:val="000000"/>
          <w:sz w:val="20"/>
          <w:szCs w:val="20"/>
        </w:rPr>
        <w:t>, 93, 160-172.</w:t>
      </w:r>
    </w:p>
    <w:p w14:paraId="2A809F6D" w14:textId="77777777" w:rsidR="005C538A" w:rsidRPr="00D963D6" w:rsidRDefault="005C538A" w:rsidP="005C538A">
      <w:pPr>
        <w:shd w:val="clear" w:color="auto" w:fill="FFFFFF"/>
        <w:spacing w:after="225"/>
        <w:rPr>
          <w:rFonts w:ascii="Verdana" w:hAnsi="Verdana" w:cs="Times New Roman"/>
          <w:sz w:val="20"/>
          <w:szCs w:val="20"/>
        </w:rPr>
      </w:pPr>
      <w:proofErr w:type="spellStart"/>
      <w:r w:rsidRPr="00D963D6">
        <w:rPr>
          <w:rFonts w:ascii="Verdana" w:hAnsi="Verdana" w:cs="Times New Roman"/>
          <w:color w:val="000000"/>
          <w:sz w:val="20"/>
          <w:szCs w:val="20"/>
        </w:rPr>
        <w:t>Hashai</w:t>
      </w:r>
      <w:proofErr w:type="spellEnd"/>
      <w:r w:rsidRPr="00D963D6">
        <w:rPr>
          <w:rFonts w:ascii="Verdana" w:hAnsi="Verdana" w:cs="Times New Roman"/>
          <w:color w:val="000000"/>
          <w:sz w:val="20"/>
          <w:szCs w:val="20"/>
        </w:rPr>
        <w:t xml:space="preserve">, N., &amp; Buckley, P. J. (2014). Is competitive advantage a necessary condition for the emergence of the multinational </w:t>
      </w:r>
      <w:proofErr w:type="gramStart"/>
      <w:r w:rsidRPr="00D963D6">
        <w:rPr>
          <w:rFonts w:ascii="Verdana" w:hAnsi="Verdana" w:cs="Times New Roman"/>
          <w:color w:val="000000"/>
          <w:sz w:val="20"/>
          <w:szCs w:val="20"/>
        </w:rPr>
        <w:t>enterprise?.</w:t>
      </w:r>
      <w:proofErr w:type="gramEnd"/>
      <w:r w:rsidRPr="00D963D6">
        <w:rPr>
          <w:rFonts w:ascii="Verdana" w:hAnsi="Verdana" w:cs="Times New Roman"/>
          <w:color w:val="000000"/>
          <w:sz w:val="20"/>
          <w:szCs w:val="20"/>
        </w:rPr>
        <w:t xml:space="preserve"> </w:t>
      </w:r>
      <w:r w:rsidRPr="00D963D6">
        <w:rPr>
          <w:rFonts w:ascii="Verdana" w:hAnsi="Verdana" w:cs="Times New Roman"/>
          <w:i/>
          <w:iCs/>
          <w:color w:val="000000"/>
          <w:sz w:val="20"/>
          <w:szCs w:val="20"/>
        </w:rPr>
        <w:t>Global Strategy Journal</w:t>
      </w:r>
      <w:r w:rsidRPr="00D963D6">
        <w:rPr>
          <w:rFonts w:ascii="Verdana" w:hAnsi="Verdana" w:cs="Times New Roman"/>
          <w:color w:val="000000"/>
          <w:sz w:val="20"/>
          <w:szCs w:val="20"/>
        </w:rPr>
        <w:t>, 4(1), 35-48.</w:t>
      </w:r>
    </w:p>
    <w:p w14:paraId="2370D810" w14:textId="77777777" w:rsidR="005C538A" w:rsidRPr="00D963D6" w:rsidRDefault="005C538A" w:rsidP="005C538A">
      <w:pPr>
        <w:shd w:val="clear" w:color="auto" w:fill="FFFFFF"/>
        <w:spacing w:after="225"/>
        <w:rPr>
          <w:rFonts w:ascii="Verdana" w:hAnsi="Verdana" w:cs="Times New Roman"/>
          <w:sz w:val="20"/>
          <w:szCs w:val="20"/>
        </w:rPr>
      </w:pPr>
      <w:proofErr w:type="spellStart"/>
      <w:r w:rsidRPr="00D963D6">
        <w:rPr>
          <w:rFonts w:ascii="Verdana" w:hAnsi="Verdana" w:cs="Times New Roman"/>
          <w:color w:val="000000"/>
          <w:sz w:val="20"/>
          <w:szCs w:val="20"/>
        </w:rPr>
        <w:t>Hennart</w:t>
      </w:r>
      <w:proofErr w:type="spellEnd"/>
      <w:r w:rsidRPr="00D963D6">
        <w:rPr>
          <w:rFonts w:ascii="Verdana" w:hAnsi="Verdana" w:cs="Times New Roman"/>
          <w:color w:val="000000"/>
          <w:sz w:val="20"/>
          <w:szCs w:val="20"/>
        </w:rPr>
        <w:t xml:space="preserve">, J. F. 2012. Emerging market multinationals and the theory of the multinational enterprise. </w:t>
      </w:r>
      <w:r w:rsidRPr="00D963D6">
        <w:rPr>
          <w:rFonts w:ascii="Verdana" w:hAnsi="Verdana" w:cs="Times New Roman"/>
          <w:i/>
          <w:iCs/>
          <w:color w:val="000000"/>
          <w:sz w:val="20"/>
          <w:szCs w:val="20"/>
        </w:rPr>
        <w:t>Global Strategy Journal</w:t>
      </w:r>
      <w:r w:rsidRPr="00D963D6">
        <w:rPr>
          <w:rFonts w:ascii="Verdana" w:hAnsi="Verdana" w:cs="Times New Roman"/>
          <w:color w:val="000000"/>
          <w:sz w:val="20"/>
          <w:szCs w:val="20"/>
        </w:rPr>
        <w:t>, 2, 168-187.</w:t>
      </w:r>
    </w:p>
    <w:p w14:paraId="3B1DB1E2" w14:textId="77777777" w:rsidR="005C538A" w:rsidRPr="00D963D6" w:rsidRDefault="005C538A" w:rsidP="005C538A">
      <w:pPr>
        <w:shd w:val="clear" w:color="auto" w:fill="FFFFFF"/>
        <w:spacing w:after="225"/>
        <w:rPr>
          <w:rFonts w:ascii="Verdana" w:hAnsi="Verdana" w:cs="Times New Roman"/>
          <w:sz w:val="20"/>
          <w:szCs w:val="20"/>
        </w:rPr>
      </w:pPr>
      <w:proofErr w:type="spellStart"/>
      <w:r w:rsidRPr="00D963D6">
        <w:rPr>
          <w:rFonts w:ascii="Verdana" w:hAnsi="Verdana" w:cs="Times New Roman"/>
          <w:color w:val="000000"/>
          <w:sz w:val="20"/>
          <w:szCs w:val="20"/>
        </w:rPr>
        <w:t>Laursen</w:t>
      </w:r>
      <w:proofErr w:type="spellEnd"/>
      <w:r w:rsidRPr="00D963D6">
        <w:rPr>
          <w:rFonts w:ascii="Verdana" w:hAnsi="Verdana" w:cs="Times New Roman"/>
          <w:color w:val="000000"/>
          <w:sz w:val="20"/>
          <w:szCs w:val="20"/>
        </w:rPr>
        <w:t xml:space="preserve">, K., &amp; Santangelo, G. D. (2017). The role of “non-economic” endowments: Introduction to the special section on what we know and what we should know about international knowledge sourcing. </w:t>
      </w:r>
      <w:r w:rsidRPr="00D963D6">
        <w:rPr>
          <w:rFonts w:ascii="Verdana" w:hAnsi="Verdana" w:cs="Times New Roman"/>
          <w:i/>
          <w:iCs/>
          <w:color w:val="000000"/>
          <w:sz w:val="20"/>
          <w:szCs w:val="20"/>
        </w:rPr>
        <w:t>Industrial and Corporate Change</w:t>
      </w:r>
      <w:r w:rsidRPr="00D963D6">
        <w:rPr>
          <w:rFonts w:ascii="Verdana" w:hAnsi="Verdana" w:cs="Times New Roman"/>
          <w:color w:val="000000"/>
          <w:sz w:val="20"/>
          <w:szCs w:val="20"/>
        </w:rPr>
        <w:t>, 26(2),279–284.</w:t>
      </w:r>
    </w:p>
    <w:p w14:paraId="7D3DFD4B" w14:textId="77777777" w:rsidR="005C538A" w:rsidRPr="00D963D6" w:rsidRDefault="005C538A" w:rsidP="005C538A">
      <w:pPr>
        <w:shd w:val="clear" w:color="auto" w:fill="FFFFFF"/>
        <w:spacing w:after="225"/>
        <w:rPr>
          <w:rFonts w:ascii="Verdana" w:hAnsi="Verdana" w:cs="Times New Roman"/>
          <w:sz w:val="20"/>
          <w:szCs w:val="20"/>
        </w:rPr>
      </w:pPr>
      <w:r w:rsidRPr="00D963D6">
        <w:rPr>
          <w:rFonts w:ascii="Verdana" w:hAnsi="Verdana" w:cs="Times New Roman"/>
          <w:color w:val="000000"/>
          <w:sz w:val="20"/>
          <w:szCs w:val="20"/>
        </w:rPr>
        <w:lastRenderedPageBreak/>
        <w:t xml:space="preserve">Luo, Y., &amp; Tung, R. L. (2007). International expansion of emerging market enterprises: A springboard perspective. </w:t>
      </w:r>
      <w:r w:rsidRPr="00D963D6">
        <w:rPr>
          <w:rFonts w:ascii="Verdana" w:hAnsi="Verdana" w:cs="Times New Roman"/>
          <w:i/>
          <w:iCs/>
          <w:color w:val="000000"/>
          <w:sz w:val="20"/>
          <w:szCs w:val="20"/>
        </w:rPr>
        <w:t>Journal of International Business Studies</w:t>
      </w:r>
      <w:r w:rsidRPr="00D963D6">
        <w:rPr>
          <w:rFonts w:ascii="Verdana" w:hAnsi="Verdana" w:cs="Times New Roman"/>
          <w:color w:val="000000"/>
          <w:sz w:val="20"/>
          <w:szCs w:val="20"/>
        </w:rPr>
        <w:t>, 38, 481–498.</w:t>
      </w:r>
    </w:p>
    <w:p w14:paraId="4E2B306A" w14:textId="77777777" w:rsidR="005C538A" w:rsidRPr="00D963D6" w:rsidRDefault="005C538A" w:rsidP="005C538A">
      <w:pPr>
        <w:shd w:val="clear" w:color="auto" w:fill="FFFFFF"/>
        <w:spacing w:after="225"/>
        <w:rPr>
          <w:rFonts w:ascii="Verdana" w:hAnsi="Verdana" w:cs="Times New Roman"/>
          <w:sz w:val="20"/>
          <w:szCs w:val="20"/>
        </w:rPr>
      </w:pPr>
      <w:r w:rsidRPr="00D963D6">
        <w:rPr>
          <w:rFonts w:ascii="Verdana" w:hAnsi="Verdana" w:cs="Times New Roman"/>
          <w:color w:val="000000"/>
          <w:sz w:val="20"/>
          <w:szCs w:val="20"/>
        </w:rPr>
        <w:t xml:space="preserve">Madhok, A., &amp; </w:t>
      </w:r>
      <w:proofErr w:type="spellStart"/>
      <w:r w:rsidRPr="00D963D6">
        <w:rPr>
          <w:rFonts w:ascii="Verdana" w:hAnsi="Verdana" w:cs="Times New Roman"/>
          <w:color w:val="000000"/>
          <w:sz w:val="20"/>
          <w:szCs w:val="20"/>
        </w:rPr>
        <w:t>Keyhani</w:t>
      </w:r>
      <w:proofErr w:type="spellEnd"/>
      <w:r w:rsidRPr="00D963D6">
        <w:rPr>
          <w:rFonts w:ascii="Verdana" w:hAnsi="Verdana" w:cs="Times New Roman"/>
          <w:color w:val="000000"/>
          <w:sz w:val="20"/>
          <w:szCs w:val="20"/>
        </w:rPr>
        <w:t xml:space="preserve">, M. (2012). Acquisitions as entrepreneurship: Asymmetries, opportunities, and the internationalization of multinationals from emerging economies. </w:t>
      </w:r>
      <w:r w:rsidRPr="00D963D6">
        <w:rPr>
          <w:rFonts w:ascii="Verdana" w:hAnsi="Verdana" w:cs="Times New Roman"/>
          <w:i/>
          <w:iCs/>
          <w:color w:val="000000"/>
          <w:sz w:val="20"/>
          <w:szCs w:val="20"/>
        </w:rPr>
        <w:t>Global Strategy Journal</w:t>
      </w:r>
      <w:r w:rsidRPr="00D963D6">
        <w:rPr>
          <w:rFonts w:ascii="Verdana" w:hAnsi="Verdana" w:cs="Times New Roman"/>
          <w:color w:val="000000"/>
          <w:sz w:val="20"/>
          <w:szCs w:val="20"/>
        </w:rPr>
        <w:t>, 2(1), 26-40.</w:t>
      </w:r>
    </w:p>
    <w:p w14:paraId="69ED2A3F" w14:textId="77777777" w:rsidR="005C538A" w:rsidRPr="00D963D6" w:rsidRDefault="005C538A" w:rsidP="005C538A">
      <w:pPr>
        <w:shd w:val="clear" w:color="auto" w:fill="FFFFFF"/>
        <w:spacing w:after="225"/>
        <w:rPr>
          <w:rFonts w:ascii="Verdana" w:hAnsi="Verdana" w:cs="Times New Roman"/>
          <w:sz w:val="20"/>
          <w:szCs w:val="20"/>
        </w:rPr>
      </w:pPr>
      <w:r w:rsidRPr="00D963D6">
        <w:rPr>
          <w:rFonts w:ascii="Verdana" w:hAnsi="Verdana" w:cs="Times New Roman"/>
          <w:color w:val="000000"/>
          <w:sz w:val="20"/>
          <w:szCs w:val="20"/>
        </w:rPr>
        <w:t xml:space="preserve">Mathews, J. A. (2006). Dragon multinationals: New players in 21th century globalization. </w:t>
      </w:r>
      <w:r w:rsidRPr="00D963D6">
        <w:rPr>
          <w:rFonts w:ascii="Verdana" w:hAnsi="Verdana" w:cs="Times New Roman"/>
          <w:i/>
          <w:iCs/>
          <w:color w:val="000000"/>
          <w:sz w:val="20"/>
          <w:szCs w:val="20"/>
        </w:rPr>
        <w:t>Asia Pacific Journal of Management</w:t>
      </w:r>
      <w:r w:rsidRPr="00D963D6">
        <w:rPr>
          <w:rFonts w:ascii="Verdana" w:hAnsi="Verdana" w:cs="Times New Roman"/>
          <w:color w:val="000000"/>
          <w:sz w:val="20"/>
          <w:szCs w:val="20"/>
        </w:rPr>
        <w:t>, 23, 5–27.</w:t>
      </w:r>
    </w:p>
    <w:p w14:paraId="4A7AA7A0" w14:textId="77777777" w:rsidR="005C538A" w:rsidRPr="00D963D6" w:rsidRDefault="005C538A" w:rsidP="005C538A">
      <w:pPr>
        <w:shd w:val="clear" w:color="auto" w:fill="FFFFFF"/>
        <w:spacing w:after="225"/>
        <w:rPr>
          <w:rFonts w:ascii="Verdana" w:hAnsi="Verdana" w:cs="Times New Roman"/>
          <w:sz w:val="20"/>
          <w:szCs w:val="20"/>
        </w:rPr>
      </w:pPr>
      <w:r w:rsidRPr="00D963D6">
        <w:rPr>
          <w:rFonts w:ascii="Verdana" w:hAnsi="Verdana" w:cs="Times New Roman"/>
          <w:color w:val="000000"/>
          <w:sz w:val="20"/>
          <w:szCs w:val="20"/>
        </w:rPr>
        <w:t xml:space="preserve">Meyer, K. (2015). What is strategic asset seeking FDI? </w:t>
      </w:r>
      <w:r w:rsidRPr="00D963D6">
        <w:rPr>
          <w:rFonts w:ascii="Verdana" w:hAnsi="Verdana" w:cs="Times New Roman"/>
          <w:i/>
          <w:iCs/>
          <w:color w:val="000000"/>
          <w:sz w:val="20"/>
          <w:szCs w:val="20"/>
        </w:rPr>
        <w:t>Multinational Business Review</w:t>
      </w:r>
      <w:r w:rsidRPr="00D963D6">
        <w:rPr>
          <w:rFonts w:ascii="Verdana" w:hAnsi="Verdana" w:cs="Times New Roman"/>
          <w:color w:val="000000"/>
          <w:sz w:val="20"/>
          <w:szCs w:val="20"/>
        </w:rPr>
        <w:t>, 23, 57–66.</w:t>
      </w:r>
    </w:p>
    <w:p w14:paraId="5E7D7ED0" w14:textId="77777777" w:rsidR="005C538A" w:rsidRPr="00D963D6" w:rsidRDefault="005C538A" w:rsidP="005C538A">
      <w:pPr>
        <w:shd w:val="clear" w:color="auto" w:fill="FFFFFF"/>
        <w:spacing w:after="225"/>
        <w:rPr>
          <w:rFonts w:ascii="Verdana" w:hAnsi="Verdana" w:cs="Times New Roman"/>
          <w:sz w:val="20"/>
          <w:szCs w:val="20"/>
        </w:rPr>
      </w:pPr>
      <w:proofErr w:type="spellStart"/>
      <w:r w:rsidRPr="00D963D6">
        <w:rPr>
          <w:rFonts w:ascii="Verdana" w:hAnsi="Verdana" w:cs="Times New Roman"/>
          <w:color w:val="000000"/>
          <w:sz w:val="20"/>
          <w:szCs w:val="20"/>
        </w:rPr>
        <w:t>Mudambi</w:t>
      </w:r>
      <w:proofErr w:type="spellEnd"/>
      <w:r w:rsidRPr="00D963D6">
        <w:rPr>
          <w:rFonts w:ascii="Verdana" w:hAnsi="Verdana" w:cs="Times New Roman"/>
          <w:color w:val="000000"/>
          <w:sz w:val="20"/>
          <w:szCs w:val="20"/>
        </w:rPr>
        <w:t>, R. (2008). Location, control and innovation in knowledge-intensive industries. Journal of Economic Geography, 8(5): 699–725</w:t>
      </w:r>
    </w:p>
    <w:p w14:paraId="0F76DBAA" w14:textId="77777777" w:rsidR="005C538A" w:rsidRPr="00D963D6" w:rsidRDefault="005C538A" w:rsidP="005C538A">
      <w:pPr>
        <w:shd w:val="clear" w:color="auto" w:fill="FFFFFF"/>
        <w:spacing w:after="225"/>
        <w:rPr>
          <w:rFonts w:ascii="Verdana" w:hAnsi="Verdana" w:cs="Times New Roman"/>
          <w:sz w:val="20"/>
          <w:szCs w:val="20"/>
        </w:rPr>
      </w:pPr>
      <w:r w:rsidRPr="00D963D6">
        <w:rPr>
          <w:rFonts w:ascii="Verdana" w:hAnsi="Verdana" w:cs="Times New Roman"/>
          <w:color w:val="000000"/>
          <w:sz w:val="20"/>
          <w:szCs w:val="20"/>
        </w:rPr>
        <w:t xml:space="preserve">Munjal, S., </w:t>
      </w:r>
      <w:proofErr w:type="spellStart"/>
      <w:r w:rsidRPr="00D963D6">
        <w:rPr>
          <w:rFonts w:ascii="Verdana" w:hAnsi="Verdana" w:cs="Times New Roman"/>
          <w:color w:val="000000"/>
          <w:sz w:val="20"/>
          <w:szCs w:val="20"/>
        </w:rPr>
        <w:t>Requejo</w:t>
      </w:r>
      <w:proofErr w:type="spellEnd"/>
      <w:r w:rsidRPr="00D963D6">
        <w:rPr>
          <w:rFonts w:ascii="Verdana" w:hAnsi="Verdana" w:cs="Times New Roman"/>
          <w:color w:val="000000"/>
          <w:sz w:val="20"/>
          <w:szCs w:val="20"/>
        </w:rPr>
        <w:t xml:space="preserve">, I., &amp; Kundu, S. K. (2019). Offshore outsourcing and firm performance: Moderating effects of size, growth and slack resources. </w:t>
      </w:r>
      <w:r w:rsidRPr="00D963D6">
        <w:rPr>
          <w:rFonts w:ascii="Verdana" w:hAnsi="Verdana" w:cs="Times New Roman"/>
          <w:i/>
          <w:iCs/>
          <w:color w:val="000000"/>
          <w:sz w:val="20"/>
          <w:szCs w:val="20"/>
        </w:rPr>
        <w:t>Journal of Business Research</w:t>
      </w:r>
      <w:r w:rsidRPr="00D963D6">
        <w:rPr>
          <w:rFonts w:ascii="Verdana" w:hAnsi="Verdana" w:cs="Times New Roman"/>
          <w:color w:val="000000"/>
          <w:sz w:val="20"/>
          <w:szCs w:val="20"/>
        </w:rPr>
        <w:t>, 103, 484-494.</w:t>
      </w:r>
    </w:p>
    <w:p w14:paraId="5DD5C406" w14:textId="77777777" w:rsidR="005C538A" w:rsidRPr="00D963D6" w:rsidRDefault="005C538A" w:rsidP="005C538A">
      <w:pPr>
        <w:shd w:val="clear" w:color="auto" w:fill="FFFFFF"/>
        <w:spacing w:after="225"/>
        <w:rPr>
          <w:rFonts w:ascii="Verdana" w:hAnsi="Verdana" w:cs="Times New Roman"/>
          <w:sz w:val="20"/>
          <w:szCs w:val="20"/>
        </w:rPr>
      </w:pPr>
      <w:r w:rsidRPr="00D963D6">
        <w:rPr>
          <w:rFonts w:ascii="Verdana" w:hAnsi="Verdana" w:cs="Times New Roman"/>
          <w:color w:val="000000"/>
          <w:sz w:val="20"/>
          <w:szCs w:val="20"/>
        </w:rPr>
        <w:t xml:space="preserve">Narula, R. (2012). Do we need different frameworks to explain infant MNEs from developing countries? </w:t>
      </w:r>
      <w:r w:rsidRPr="00D963D6">
        <w:rPr>
          <w:rFonts w:ascii="Verdana" w:hAnsi="Verdana" w:cs="Times New Roman"/>
          <w:i/>
          <w:iCs/>
          <w:color w:val="000000"/>
          <w:sz w:val="20"/>
          <w:szCs w:val="20"/>
        </w:rPr>
        <w:t>Global Strategy Journal</w:t>
      </w:r>
      <w:r w:rsidRPr="00D963D6">
        <w:rPr>
          <w:rFonts w:ascii="Verdana" w:hAnsi="Verdana" w:cs="Times New Roman"/>
          <w:color w:val="000000"/>
          <w:sz w:val="20"/>
          <w:szCs w:val="20"/>
        </w:rPr>
        <w:t>, 2, 188–204.</w:t>
      </w:r>
    </w:p>
    <w:p w14:paraId="6CCE0E04" w14:textId="77777777" w:rsidR="005C538A" w:rsidRPr="00D963D6" w:rsidRDefault="005C538A" w:rsidP="005C538A">
      <w:pPr>
        <w:shd w:val="clear" w:color="auto" w:fill="FFFFFF"/>
        <w:spacing w:after="225"/>
        <w:rPr>
          <w:rFonts w:ascii="Verdana" w:hAnsi="Verdana" w:cs="Times New Roman"/>
          <w:sz w:val="20"/>
          <w:szCs w:val="20"/>
        </w:rPr>
      </w:pPr>
      <w:r w:rsidRPr="00D963D6">
        <w:rPr>
          <w:rFonts w:ascii="Verdana" w:hAnsi="Verdana" w:cs="Times New Roman"/>
          <w:color w:val="000000"/>
          <w:sz w:val="20"/>
          <w:szCs w:val="20"/>
        </w:rPr>
        <w:t xml:space="preserve">Narula, R. (2015). The viability of sustained growth by India’s MNEs: India’s dual economy and constraints from location assets. </w:t>
      </w:r>
      <w:r w:rsidRPr="00D963D6">
        <w:rPr>
          <w:rFonts w:ascii="Verdana" w:hAnsi="Verdana" w:cs="Times New Roman"/>
          <w:i/>
          <w:iCs/>
          <w:color w:val="000000"/>
          <w:sz w:val="20"/>
          <w:szCs w:val="20"/>
        </w:rPr>
        <w:t>Management International Review</w:t>
      </w:r>
      <w:r w:rsidRPr="00D963D6">
        <w:rPr>
          <w:rFonts w:ascii="Verdana" w:hAnsi="Verdana" w:cs="Times New Roman"/>
          <w:color w:val="000000"/>
          <w:sz w:val="20"/>
          <w:szCs w:val="20"/>
        </w:rPr>
        <w:t>, 55, 191–205.</w:t>
      </w:r>
    </w:p>
    <w:p w14:paraId="37FCA89D" w14:textId="77777777" w:rsidR="005C538A" w:rsidRPr="00D963D6" w:rsidRDefault="005C538A" w:rsidP="005C538A">
      <w:pPr>
        <w:shd w:val="clear" w:color="auto" w:fill="FFFFFF"/>
        <w:spacing w:after="225"/>
        <w:rPr>
          <w:rFonts w:ascii="Verdana" w:hAnsi="Verdana" w:cs="Times New Roman"/>
          <w:sz w:val="20"/>
          <w:szCs w:val="20"/>
        </w:rPr>
      </w:pPr>
      <w:proofErr w:type="spellStart"/>
      <w:r w:rsidRPr="00D963D6">
        <w:rPr>
          <w:rFonts w:ascii="Verdana" w:hAnsi="Verdana" w:cs="Times New Roman"/>
          <w:color w:val="000000"/>
          <w:sz w:val="20"/>
          <w:szCs w:val="20"/>
        </w:rPr>
        <w:t>Özcan</w:t>
      </w:r>
      <w:proofErr w:type="spellEnd"/>
      <w:r w:rsidRPr="00D963D6">
        <w:rPr>
          <w:rFonts w:ascii="Verdana" w:hAnsi="Verdana" w:cs="Times New Roman"/>
          <w:color w:val="000000"/>
          <w:sz w:val="20"/>
          <w:szCs w:val="20"/>
        </w:rPr>
        <w:t xml:space="preserve">, G. B., Mondragon, A. E. C., &amp; </w:t>
      </w:r>
      <w:proofErr w:type="spellStart"/>
      <w:r w:rsidRPr="00D963D6">
        <w:rPr>
          <w:rFonts w:ascii="Verdana" w:hAnsi="Verdana" w:cs="Times New Roman"/>
          <w:color w:val="000000"/>
          <w:sz w:val="20"/>
          <w:szCs w:val="20"/>
        </w:rPr>
        <w:t>Harindranath</w:t>
      </w:r>
      <w:proofErr w:type="spellEnd"/>
      <w:r w:rsidRPr="00D963D6">
        <w:rPr>
          <w:rFonts w:ascii="Verdana" w:hAnsi="Verdana" w:cs="Times New Roman"/>
          <w:color w:val="000000"/>
          <w:sz w:val="20"/>
          <w:szCs w:val="20"/>
        </w:rPr>
        <w:t xml:space="preserve">, G. (2018). Strategic entry and operational integration of emerging market firms: The case of Cemex, </w:t>
      </w:r>
      <w:proofErr w:type="spellStart"/>
      <w:r w:rsidRPr="00D963D6">
        <w:rPr>
          <w:rFonts w:ascii="Verdana" w:hAnsi="Verdana" w:cs="Times New Roman"/>
          <w:color w:val="000000"/>
          <w:sz w:val="20"/>
          <w:szCs w:val="20"/>
        </w:rPr>
        <w:t>Beko</w:t>
      </w:r>
      <w:proofErr w:type="spellEnd"/>
      <w:r w:rsidRPr="00D963D6">
        <w:rPr>
          <w:rFonts w:ascii="Verdana" w:hAnsi="Verdana" w:cs="Times New Roman"/>
          <w:color w:val="000000"/>
          <w:sz w:val="20"/>
          <w:szCs w:val="20"/>
        </w:rPr>
        <w:t xml:space="preserve"> and Tata Steel in the UK. Journal of Business Research, 93, 242-254.</w:t>
      </w:r>
    </w:p>
    <w:p w14:paraId="72DD5DEF" w14:textId="77777777" w:rsidR="005C538A" w:rsidRPr="00D963D6" w:rsidRDefault="005C538A" w:rsidP="005C538A">
      <w:pPr>
        <w:shd w:val="clear" w:color="auto" w:fill="FFFFFF"/>
        <w:spacing w:after="225"/>
        <w:rPr>
          <w:rFonts w:ascii="Verdana" w:hAnsi="Verdana" w:cs="Times New Roman"/>
          <w:sz w:val="20"/>
          <w:szCs w:val="20"/>
        </w:rPr>
      </w:pPr>
      <w:proofErr w:type="spellStart"/>
      <w:r w:rsidRPr="00D963D6">
        <w:rPr>
          <w:rFonts w:ascii="Verdana" w:hAnsi="Verdana" w:cs="Times New Roman"/>
          <w:color w:val="000000"/>
          <w:sz w:val="20"/>
          <w:szCs w:val="20"/>
        </w:rPr>
        <w:t>Rabbiosi</w:t>
      </w:r>
      <w:proofErr w:type="spellEnd"/>
      <w:r w:rsidRPr="00D963D6">
        <w:rPr>
          <w:rFonts w:ascii="Verdana" w:hAnsi="Verdana" w:cs="Times New Roman"/>
          <w:color w:val="000000"/>
          <w:sz w:val="20"/>
          <w:szCs w:val="20"/>
        </w:rPr>
        <w:t xml:space="preserve"> L., Elia S., </w:t>
      </w:r>
      <w:proofErr w:type="spellStart"/>
      <w:r w:rsidRPr="00D963D6">
        <w:rPr>
          <w:rFonts w:ascii="Verdana" w:hAnsi="Verdana" w:cs="Times New Roman"/>
          <w:color w:val="000000"/>
          <w:sz w:val="20"/>
          <w:szCs w:val="20"/>
        </w:rPr>
        <w:t>Bertoni</w:t>
      </w:r>
      <w:proofErr w:type="spellEnd"/>
      <w:r w:rsidRPr="00D963D6">
        <w:rPr>
          <w:rFonts w:ascii="Verdana" w:hAnsi="Verdana" w:cs="Times New Roman"/>
          <w:color w:val="000000"/>
          <w:sz w:val="20"/>
          <w:szCs w:val="20"/>
        </w:rPr>
        <w:t xml:space="preserve"> F. (2012). Acquisitions by EMNCs in Developed Markets: An </w:t>
      </w:r>
      <w:proofErr w:type="spellStart"/>
      <w:r w:rsidRPr="00D963D6">
        <w:rPr>
          <w:rFonts w:ascii="Verdana" w:hAnsi="Verdana" w:cs="Times New Roman"/>
          <w:color w:val="000000"/>
          <w:sz w:val="20"/>
          <w:szCs w:val="20"/>
        </w:rPr>
        <w:t>Organisational</w:t>
      </w:r>
      <w:proofErr w:type="spellEnd"/>
      <w:r w:rsidRPr="00D963D6">
        <w:rPr>
          <w:rFonts w:ascii="Verdana" w:hAnsi="Verdana" w:cs="Times New Roman"/>
          <w:color w:val="000000"/>
          <w:sz w:val="20"/>
          <w:szCs w:val="20"/>
        </w:rPr>
        <w:t xml:space="preserve"> Learning Perspective. </w:t>
      </w:r>
      <w:r w:rsidRPr="00D963D6">
        <w:rPr>
          <w:rFonts w:ascii="Verdana" w:hAnsi="Verdana" w:cs="Times New Roman"/>
          <w:i/>
          <w:iCs/>
          <w:color w:val="000000"/>
          <w:sz w:val="20"/>
          <w:szCs w:val="20"/>
        </w:rPr>
        <w:t>Management International Review</w:t>
      </w:r>
      <w:r w:rsidRPr="00D963D6">
        <w:rPr>
          <w:rFonts w:ascii="Verdana" w:hAnsi="Verdana" w:cs="Times New Roman"/>
          <w:color w:val="000000"/>
          <w:sz w:val="20"/>
          <w:szCs w:val="20"/>
        </w:rPr>
        <w:t>, 52, 193-212.</w:t>
      </w:r>
    </w:p>
    <w:p w14:paraId="31697DEE" w14:textId="77777777" w:rsidR="005C538A" w:rsidRPr="00D963D6" w:rsidRDefault="005C538A" w:rsidP="005C538A">
      <w:pPr>
        <w:shd w:val="clear" w:color="auto" w:fill="FFFFFF"/>
        <w:spacing w:after="225"/>
        <w:rPr>
          <w:rFonts w:ascii="Verdana" w:hAnsi="Verdana" w:cs="Times New Roman"/>
          <w:sz w:val="20"/>
          <w:szCs w:val="20"/>
        </w:rPr>
      </w:pPr>
      <w:proofErr w:type="spellStart"/>
      <w:r w:rsidRPr="00D963D6">
        <w:rPr>
          <w:rFonts w:ascii="Verdana" w:hAnsi="Verdana" w:cs="Times New Roman"/>
          <w:color w:val="000000"/>
          <w:sz w:val="20"/>
          <w:szCs w:val="20"/>
        </w:rPr>
        <w:t>Ramamurti</w:t>
      </w:r>
      <w:proofErr w:type="spellEnd"/>
      <w:r w:rsidRPr="00D963D6">
        <w:rPr>
          <w:rFonts w:ascii="Verdana" w:hAnsi="Verdana" w:cs="Times New Roman"/>
          <w:color w:val="000000"/>
          <w:sz w:val="20"/>
          <w:szCs w:val="20"/>
        </w:rPr>
        <w:t xml:space="preserve">, R., &amp; Singh, J. V. (2009). Indian multinationals: Generic internationalization strategies? In R. </w:t>
      </w:r>
      <w:proofErr w:type="spellStart"/>
      <w:r w:rsidRPr="00D963D6">
        <w:rPr>
          <w:rFonts w:ascii="Verdana" w:hAnsi="Verdana" w:cs="Times New Roman"/>
          <w:color w:val="000000"/>
          <w:sz w:val="20"/>
          <w:szCs w:val="20"/>
        </w:rPr>
        <w:t>Ramamurti</w:t>
      </w:r>
      <w:proofErr w:type="spellEnd"/>
      <w:r w:rsidRPr="00D963D6">
        <w:rPr>
          <w:rFonts w:ascii="Verdana" w:hAnsi="Verdana" w:cs="Times New Roman"/>
          <w:color w:val="000000"/>
          <w:sz w:val="20"/>
          <w:szCs w:val="20"/>
        </w:rPr>
        <w:t xml:space="preserve">, &amp; J. V. Singh (Eds.), </w:t>
      </w:r>
      <w:r w:rsidRPr="00D963D6">
        <w:rPr>
          <w:rFonts w:ascii="Verdana" w:hAnsi="Verdana" w:cs="Times New Roman"/>
          <w:i/>
          <w:iCs/>
          <w:color w:val="000000"/>
          <w:sz w:val="20"/>
          <w:szCs w:val="20"/>
        </w:rPr>
        <w:t>Emerging multinationals from emerging markets</w:t>
      </w:r>
      <w:r w:rsidRPr="00D963D6">
        <w:rPr>
          <w:rFonts w:ascii="Verdana" w:hAnsi="Verdana" w:cs="Times New Roman"/>
          <w:color w:val="000000"/>
          <w:sz w:val="20"/>
          <w:szCs w:val="20"/>
        </w:rPr>
        <w:t xml:space="preserve"> (pp. 110–166). Cambridge: University Press.</w:t>
      </w:r>
    </w:p>
    <w:p w14:paraId="3710E0B6" w14:textId="77777777" w:rsidR="005C538A" w:rsidRPr="00D963D6" w:rsidRDefault="005C538A" w:rsidP="005C538A">
      <w:pPr>
        <w:shd w:val="clear" w:color="auto" w:fill="FFFFFF"/>
        <w:spacing w:after="225"/>
        <w:rPr>
          <w:rFonts w:ascii="Verdana" w:hAnsi="Verdana" w:cs="Times New Roman"/>
          <w:sz w:val="20"/>
          <w:szCs w:val="20"/>
        </w:rPr>
      </w:pPr>
      <w:r w:rsidRPr="00D963D6">
        <w:rPr>
          <w:rFonts w:ascii="Verdana" w:hAnsi="Verdana" w:cs="Times New Roman"/>
          <w:color w:val="000000"/>
          <w:sz w:val="20"/>
          <w:szCs w:val="20"/>
        </w:rPr>
        <w:t xml:space="preserve">Strange, R., &amp; </w:t>
      </w:r>
      <w:proofErr w:type="spellStart"/>
      <w:r w:rsidRPr="00D963D6">
        <w:rPr>
          <w:rFonts w:ascii="Verdana" w:hAnsi="Verdana" w:cs="Times New Roman"/>
          <w:color w:val="000000"/>
          <w:sz w:val="20"/>
          <w:szCs w:val="20"/>
        </w:rPr>
        <w:t>Zucchella</w:t>
      </w:r>
      <w:proofErr w:type="spellEnd"/>
      <w:r w:rsidRPr="00D963D6">
        <w:rPr>
          <w:rFonts w:ascii="Verdana" w:hAnsi="Verdana" w:cs="Times New Roman"/>
          <w:color w:val="000000"/>
          <w:sz w:val="20"/>
          <w:szCs w:val="20"/>
        </w:rPr>
        <w:t xml:space="preserve">, A. (2017). Industry 4.0, global value chains and international business. </w:t>
      </w:r>
      <w:proofErr w:type="spellStart"/>
      <w:r w:rsidRPr="00D963D6">
        <w:rPr>
          <w:rFonts w:ascii="Verdana" w:hAnsi="Verdana" w:cs="Times New Roman"/>
          <w:color w:val="000000"/>
          <w:sz w:val="20"/>
          <w:szCs w:val="20"/>
        </w:rPr>
        <w:t>Multnational</w:t>
      </w:r>
      <w:proofErr w:type="spellEnd"/>
      <w:r w:rsidRPr="00D963D6">
        <w:rPr>
          <w:rFonts w:ascii="Verdana" w:hAnsi="Verdana" w:cs="Times New Roman"/>
          <w:color w:val="000000"/>
          <w:sz w:val="20"/>
          <w:szCs w:val="20"/>
        </w:rPr>
        <w:t xml:space="preserve"> Business Review, 25(3), 174–184.</w:t>
      </w:r>
    </w:p>
    <w:p w14:paraId="1D898A60" w14:textId="77777777" w:rsidR="005C538A" w:rsidRPr="00D963D6" w:rsidRDefault="005C538A" w:rsidP="005C538A">
      <w:pPr>
        <w:shd w:val="clear" w:color="auto" w:fill="FFFFFF"/>
        <w:spacing w:after="225"/>
        <w:rPr>
          <w:rFonts w:ascii="Verdana" w:hAnsi="Verdana" w:cs="Times New Roman"/>
          <w:sz w:val="20"/>
          <w:szCs w:val="20"/>
        </w:rPr>
      </w:pPr>
      <w:r w:rsidRPr="00D963D6">
        <w:rPr>
          <w:rFonts w:ascii="Verdana" w:hAnsi="Verdana" w:cs="Times New Roman"/>
          <w:color w:val="000000"/>
          <w:sz w:val="20"/>
          <w:szCs w:val="20"/>
        </w:rPr>
        <w:t xml:space="preserve">Wang, Y., &amp; Li-Ying, J. (2014). How do the BRIC countries play their roles in the global innovation arena? A study based on USPTO patents during 1990–2009. </w:t>
      </w:r>
      <w:proofErr w:type="spellStart"/>
      <w:r w:rsidRPr="00D963D6">
        <w:rPr>
          <w:rFonts w:ascii="Verdana" w:hAnsi="Verdana" w:cs="Times New Roman"/>
          <w:i/>
          <w:iCs/>
          <w:color w:val="000000"/>
          <w:sz w:val="20"/>
          <w:szCs w:val="20"/>
        </w:rPr>
        <w:t>Scientometrics</w:t>
      </w:r>
      <w:proofErr w:type="spellEnd"/>
      <w:r w:rsidRPr="00D963D6">
        <w:rPr>
          <w:rFonts w:ascii="Verdana" w:hAnsi="Verdana" w:cs="Times New Roman"/>
          <w:color w:val="000000"/>
          <w:sz w:val="20"/>
          <w:szCs w:val="20"/>
        </w:rPr>
        <w:t>, 98, 1065–1083.</w:t>
      </w:r>
    </w:p>
    <w:p w14:paraId="3F09B36A" w14:textId="356EBFA9" w:rsidR="00045504" w:rsidRPr="005C538A" w:rsidRDefault="00045504" w:rsidP="005C538A"/>
    <w:sectPr w:rsidR="00045504" w:rsidRPr="005C5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0E55A8"/>
    <w:multiLevelType w:val="hybridMultilevel"/>
    <w:tmpl w:val="3EC225BC"/>
    <w:lvl w:ilvl="0" w:tplc="32184B3A">
      <w:start w:val="1"/>
      <w:numFmt w:val="lowerRoman"/>
      <w:lvlText w:val="(%1)"/>
      <w:lvlJc w:val="left"/>
      <w:pPr>
        <w:ind w:left="1080" w:hanging="72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CC"/>
    <w:rsid w:val="00015BAB"/>
    <w:rsid w:val="00045504"/>
    <w:rsid w:val="0018462A"/>
    <w:rsid w:val="002F2C0B"/>
    <w:rsid w:val="003C5108"/>
    <w:rsid w:val="0047054B"/>
    <w:rsid w:val="005C538A"/>
    <w:rsid w:val="00770BCC"/>
    <w:rsid w:val="00820D2E"/>
    <w:rsid w:val="00C005D3"/>
    <w:rsid w:val="00CB7B37"/>
    <w:rsid w:val="00D963D6"/>
    <w:rsid w:val="00EA2462"/>
    <w:rsid w:val="00F94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37A12"/>
  <w15:chartTrackingRefBased/>
  <w15:docId w15:val="{4DD842B5-9EA4-42CC-BF3B-5C5985472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538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538A"/>
    <w:rPr>
      <w:color w:val="0563C1"/>
      <w:u w:val="single"/>
    </w:rPr>
  </w:style>
  <w:style w:type="paragraph" w:styleId="ListParagraph">
    <w:name w:val="List Paragraph"/>
    <w:basedOn w:val="Normal"/>
    <w:uiPriority w:val="34"/>
    <w:qFormat/>
    <w:rsid w:val="005C538A"/>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52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cavusgil@g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J.Buckley@lubs.leeds.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unjal@lubs.leeds.ac.uk" TargetMode="External"/><Relationship Id="rId11" Type="http://schemas.openxmlformats.org/officeDocument/2006/relationships/hyperlink" Target="https://nam03.safelinks.protection.outlook.com/?url=https%3A%2F%2Fwww.elsevier.com%2Fjournals%2Fjournal-of-business-research%2F0148-2963%2Fguide-for-authors&amp;data=02%7C01%7Cstcavusgil%40gsu.edu%7Ca06e0a236e4a42cc08a108d80cdd53d1%7C515ad73d8d5e4169895c9789dc742a70%7C0%7C0%7C637273492034568072&amp;sdata=ydWKsk57OGPdhc8dOUJDyxCleZ2kJluDuMb02yPtcr0%3D&amp;reserved=0" TargetMode="External"/><Relationship Id="rId5" Type="http://schemas.openxmlformats.org/officeDocument/2006/relationships/hyperlink" Target="mailto:stefano.elia@polimi.it" TargetMode="External"/><Relationship Id="rId10" Type="http://schemas.openxmlformats.org/officeDocument/2006/relationships/hyperlink" Target="https://nam03.safelinks.protection.outlook.com/?url=http%3A%2F%2Fees.elsevier.com%2Fjbr%2F&amp;data=02%7C01%7Cstcavusgil%40gsu.edu%7Ca06e0a236e4a42cc08a108d80cdd53d1%7C515ad73d8d5e4169895c9789dc742a70%7C0%7C0%7C637273492034558077&amp;sdata=cEtF3wsRXgbKcWuwwmANQ6GGX%2FWJspwZIDVg1i9XYHo%3D&amp;reserved=0" TargetMode="External"/><Relationship Id="rId4" Type="http://schemas.openxmlformats.org/officeDocument/2006/relationships/webSettings" Target="webSettings.xml"/><Relationship Id="rId9" Type="http://schemas.openxmlformats.org/officeDocument/2006/relationships/hyperlink" Target="mailto:stefano.elia@polimi.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7</Pages>
  <Words>2652</Words>
  <Characters>15121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Tamer Cavusgil</dc:creator>
  <cp:keywords/>
  <dc:description/>
  <cp:lastModifiedBy>Tamer Cavusgil</cp:lastModifiedBy>
  <cp:revision>1</cp:revision>
  <dcterms:created xsi:type="dcterms:W3CDTF">2020-06-11T21:44:00Z</dcterms:created>
  <dcterms:modified xsi:type="dcterms:W3CDTF">2020-06-11T23:56:00Z</dcterms:modified>
</cp:coreProperties>
</file>